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EA2B3" w14:textId="77777777" w:rsidR="004B164E" w:rsidRDefault="004B164E" w:rsidP="00523363">
      <w:pPr>
        <w:jc w:val="center"/>
        <w:rPr>
          <w:b/>
          <w:caps/>
        </w:rPr>
      </w:pPr>
      <w:r w:rsidRPr="001B10CE">
        <w:rPr>
          <w:b/>
          <w:caps/>
        </w:rPr>
        <w:t>SMA</w:t>
      </w:r>
      <w:r>
        <w:rPr>
          <w:b/>
          <w:caps/>
        </w:rPr>
        <w:t>LL BUSINESS INNOVATION RESEARCH</w:t>
      </w:r>
    </w:p>
    <w:p w14:paraId="51647183" w14:textId="77777777" w:rsidR="004B164E" w:rsidRDefault="004B164E" w:rsidP="004B164E">
      <w:pPr>
        <w:jc w:val="center"/>
        <w:rPr>
          <w:b/>
          <w:caps/>
        </w:rPr>
      </w:pPr>
    </w:p>
    <w:p w14:paraId="1563892E" w14:textId="058A985E" w:rsidR="004B164E" w:rsidRDefault="004B164E" w:rsidP="004B164E">
      <w:pPr>
        <w:jc w:val="center"/>
        <w:rPr>
          <w:b/>
          <w:caps/>
        </w:rPr>
      </w:pPr>
      <w:r>
        <w:rPr>
          <w:b/>
          <w:caps/>
        </w:rPr>
        <w:t xml:space="preserve">phase ii statement of objectives </w:t>
      </w:r>
    </w:p>
    <w:p w14:paraId="3103F231" w14:textId="77777777" w:rsidR="00650A0F" w:rsidRDefault="00650A0F" w:rsidP="004B164E">
      <w:pPr>
        <w:jc w:val="center"/>
        <w:rPr>
          <w:b/>
          <w:caps/>
        </w:rPr>
      </w:pPr>
    </w:p>
    <w:p w14:paraId="26927457" w14:textId="7F6F036F" w:rsidR="004B164E" w:rsidRDefault="004B164E" w:rsidP="004B164E">
      <w:pPr>
        <w:jc w:val="center"/>
        <w:rPr>
          <w:b/>
          <w:caps/>
        </w:rPr>
      </w:pPr>
      <w:r>
        <w:rPr>
          <w:b/>
          <w:caps/>
        </w:rPr>
        <w:t xml:space="preserve">for </w:t>
      </w:r>
    </w:p>
    <w:p w14:paraId="60E3BE05" w14:textId="77777777" w:rsidR="00650A0F" w:rsidRDefault="00650A0F" w:rsidP="004B164E">
      <w:pPr>
        <w:jc w:val="center"/>
        <w:rPr>
          <w:b/>
          <w:caps/>
        </w:rPr>
      </w:pPr>
    </w:p>
    <w:p w14:paraId="5B860425" w14:textId="4CC5904C" w:rsidR="004B164E" w:rsidRDefault="002A3421" w:rsidP="004B164E">
      <w:pPr>
        <w:jc w:val="center"/>
        <w:rPr>
          <w:b/>
          <w:caps/>
        </w:rPr>
      </w:pPr>
      <w:r>
        <w:rPr>
          <w:b/>
          <w:caps/>
        </w:rPr>
        <w:t>Minature Aiming Ranging Laser</w:t>
      </w:r>
      <w:r w:rsidR="004B164E" w:rsidRPr="004B164E">
        <w:rPr>
          <w:b/>
          <w:caps/>
        </w:rPr>
        <w:t xml:space="preserve"> </w:t>
      </w:r>
    </w:p>
    <w:p w14:paraId="523D989D" w14:textId="77777777" w:rsidR="00650A0F" w:rsidRDefault="00650A0F" w:rsidP="004B164E">
      <w:pPr>
        <w:jc w:val="center"/>
        <w:rPr>
          <w:b/>
          <w:caps/>
        </w:rPr>
      </w:pPr>
    </w:p>
    <w:p w14:paraId="3F59F7C7" w14:textId="4F74AC74" w:rsidR="004B164E" w:rsidRPr="0089723D" w:rsidRDefault="00B142AC" w:rsidP="004B164E">
      <w:pPr>
        <w:jc w:val="center"/>
        <w:rPr>
          <w:b/>
          <w:caps/>
          <w:color w:val="FF0000"/>
        </w:rPr>
      </w:pPr>
      <w:r w:rsidRPr="00650A0F">
        <w:rPr>
          <w:b/>
          <w:caps/>
        </w:rPr>
        <w:t>SOCOM2</w:t>
      </w:r>
      <w:r w:rsidR="00650A0F" w:rsidRPr="00650A0F">
        <w:rPr>
          <w:b/>
          <w:caps/>
        </w:rPr>
        <w:t>2</w:t>
      </w:r>
      <w:r w:rsidR="005B29A9">
        <w:rPr>
          <w:b/>
          <w:caps/>
        </w:rPr>
        <w:t>.</w:t>
      </w:r>
      <w:r w:rsidRPr="00650A0F">
        <w:rPr>
          <w:b/>
          <w:caps/>
        </w:rPr>
        <w:t>1-D00</w:t>
      </w:r>
      <w:r w:rsidR="00650A0F" w:rsidRPr="00650A0F">
        <w:rPr>
          <w:b/>
          <w:caps/>
        </w:rPr>
        <w:t>3</w:t>
      </w:r>
      <w:r w:rsidR="0089723D">
        <w:rPr>
          <w:b/>
          <w:caps/>
        </w:rPr>
        <w:t xml:space="preserve"> </w:t>
      </w:r>
      <w:r w:rsidR="0089723D" w:rsidRPr="0089723D">
        <w:rPr>
          <w:b/>
          <w:caps/>
          <w:color w:val="FF0000"/>
        </w:rPr>
        <w:t>(Revision 1)</w:t>
      </w:r>
    </w:p>
    <w:p w14:paraId="505F24E0" w14:textId="77777777" w:rsidR="00650A0F" w:rsidRDefault="00650A0F" w:rsidP="004B164E">
      <w:pPr>
        <w:jc w:val="center"/>
        <w:rPr>
          <w:b/>
          <w:caps/>
        </w:rPr>
      </w:pPr>
    </w:p>
    <w:p w14:paraId="79835C30" w14:textId="1F4B2152" w:rsidR="004B164E" w:rsidRPr="0089723D" w:rsidRDefault="0089723D" w:rsidP="004B164E">
      <w:pPr>
        <w:jc w:val="center"/>
        <w:rPr>
          <w:b/>
          <w:caps/>
          <w:color w:val="FF0000"/>
        </w:rPr>
      </w:pPr>
      <w:r w:rsidRPr="0089723D">
        <w:rPr>
          <w:b/>
          <w:caps/>
          <w:color w:val="FF0000"/>
        </w:rPr>
        <w:t>7 January 2021</w:t>
      </w:r>
    </w:p>
    <w:p w14:paraId="3F74A7E8" w14:textId="77777777" w:rsidR="004B164E" w:rsidRDefault="004B164E" w:rsidP="004B164E">
      <w:pPr>
        <w:jc w:val="center"/>
        <w:rPr>
          <w:b/>
          <w:caps/>
        </w:rPr>
      </w:pPr>
    </w:p>
    <w:p w14:paraId="795A3C87" w14:textId="77777777" w:rsidR="004B164E" w:rsidRPr="004B164E" w:rsidRDefault="004B164E" w:rsidP="004B164E">
      <w:pPr>
        <w:jc w:val="both"/>
        <w:rPr>
          <w:sz w:val="22"/>
          <w:szCs w:val="22"/>
        </w:rPr>
      </w:pPr>
      <w:r w:rsidRPr="00344777">
        <w:rPr>
          <w:b/>
          <w:sz w:val="22"/>
          <w:szCs w:val="22"/>
        </w:rPr>
        <w:t>I.</w:t>
      </w:r>
      <w:r w:rsidRPr="004B164E">
        <w:rPr>
          <w:b/>
          <w:sz w:val="22"/>
          <w:szCs w:val="22"/>
        </w:rPr>
        <w:t xml:space="preserve">  INTERNATIONAL TRAFFIC AND ARMS REGULATION:</w:t>
      </w:r>
      <w:r w:rsidRPr="004B164E">
        <w:rPr>
          <w:sz w:val="22"/>
          <w:szCs w:val="22"/>
        </w:rPr>
        <w:t xml:space="preserve">  The technology within this topic is restricted under the International Traffic in Arms Regulation (ITAR), which controls the export and import of defense-related material and services.  Offerors must disclose any proposed use of foreign nationals, their country of origin, and what tasks each would accomplish in the statement of work in accordance with section 5.4.c.(8) of the solicitation. </w:t>
      </w:r>
      <w:r w:rsidR="00110C13">
        <w:rPr>
          <w:sz w:val="22"/>
          <w:szCs w:val="22"/>
        </w:rPr>
        <w:t xml:space="preserve"> </w:t>
      </w:r>
      <w:r w:rsidRPr="004B164E">
        <w:rPr>
          <w:sz w:val="22"/>
          <w:szCs w:val="22"/>
        </w:rPr>
        <w:t>Additionally, Offerors will describe compliance mechanisms offerors have in place or will put in place to address any ITAR issues that arise during the course of agreement administration.</w:t>
      </w:r>
    </w:p>
    <w:p w14:paraId="15D111AA" w14:textId="77777777" w:rsidR="004B164E" w:rsidRPr="00B142AC" w:rsidRDefault="004B164E" w:rsidP="00B142AC">
      <w:pPr>
        <w:pStyle w:val="Default"/>
        <w:jc w:val="both"/>
        <w:rPr>
          <w:rFonts w:ascii="Arial" w:hAnsi="Arial" w:cs="Arial"/>
          <w:sz w:val="22"/>
          <w:szCs w:val="22"/>
        </w:rPr>
      </w:pPr>
      <w:r>
        <w:rPr>
          <w:rFonts w:ascii="Arial" w:hAnsi="Arial" w:cs="Arial"/>
          <w:i/>
          <w:sz w:val="22"/>
          <w:szCs w:val="22"/>
        </w:rPr>
        <w:t xml:space="preserve"> </w:t>
      </w:r>
    </w:p>
    <w:p w14:paraId="109F5BBC" w14:textId="77777777" w:rsidR="004B164E" w:rsidRDefault="004B164E" w:rsidP="004B164E">
      <w:pPr>
        <w:rPr>
          <w:sz w:val="22"/>
          <w:szCs w:val="22"/>
        </w:rPr>
      </w:pPr>
      <w:r w:rsidRPr="00344777">
        <w:rPr>
          <w:b/>
          <w:sz w:val="22"/>
          <w:szCs w:val="22"/>
        </w:rPr>
        <w:t>II.</w:t>
      </w:r>
      <w:r>
        <w:rPr>
          <w:b/>
          <w:sz w:val="22"/>
          <w:szCs w:val="22"/>
        </w:rPr>
        <w:t xml:space="preserve">  </w:t>
      </w:r>
      <w:r w:rsidRPr="00B24A63">
        <w:rPr>
          <w:b/>
          <w:sz w:val="22"/>
          <w:szCs w:val="22"/>
        </w:rPr>
        <w:t>BACKGROUND</w:t>
      </w:r>
      <w:r w:rsidRPr="00B24A63">
        <w:rPr>
          <w:sz w:val="22"/>
          <w:szCs w:val="22"/>
        </w:rPr>
        <w:t>:</w:t>
      </w:r>
      <w:r>
        <w:rPr>
          <w:sz w:val="22"/>
          <w:szCs w:val="22"/>
        </w:rPr>
        <w:t xml:space="preserve"> </w:t>
      </w:r>
    </w:p>
    <w:p w14:paraId="4C8EFEE2" w14:textId="7AFF3D60" w:rsidR="004B164E" w:rsidRDefault="00AE403D" w:rsidP="00AE403D">
      <w:pPr>
        <w:tabs>
          <w:tab w:val="left" w:pos="3870"/>
        </w:tabs>
        <w:rPr>
          <w:b/>
          <w:caps/>
        </w:rPr>
      </w:pPr>
      <w:r>
        <w:rPr>
          <w:b/>
          <w:caps/>
        </w:rPr>
        <w:tab/>
      </w:r>
    </w:p>
    <w:p w14:paraId="24D4F7CC" w14:textId="0FEB7E6E" w:rsidR="005A7AC6" w:rsidRPr="009F5D7E" w:rsidRDefault="00ED405D" w:rsidP="00C80B0E">
      <w:pPr>
        <w:jc w:val="both"/>
        <w:rPr>
          <w:sz w:val="22"/>
          <w:szCs w:val="22"/>
        </w:rPr>
      </w:pPr>
      <w:r w:rsidRPr="00ED405D">
        <w:rPr>
          <w:sz w:val="22"/>
          <w:szCs w:val="22"/>
        </w:rPr>
        <w:t xml:space="preserve">The </w:t>
      </w:r>
      <w:r>
        <w:rPr>
          <w:sz w:val="22"/>
          <w:szCs w:val="22"/>
        </w:rPr>
        <w:t>Miniature Aiming Ranging Laser</w:t>
      </w:r>
      <w:r w:rsidRPr="00ED405D">
        <w:rPr>
          <w:sz w:val="22"/>
          <w:szCs w:val="22"/>
        </w:rPr>
        <w:t xml:space="preserve"> (</w:t>
      </w:r>
      <w:r>
        <w:rPr>
          <w:sz w:val="22"/>
          <w:szCs w:val="22"/>
        </w:rPr>
        <w:t>MARL</w:t>
      </w:r>
      <w:r w:rsidRPr="00ED405D">
        <w:rPr>
          <w:sz w:val="22"/>
          <w:szCs w:val="22"/>
        </w:rPr>
        <w:t xml:space="preserve">) increases the </w:t>
      </w:r>
      <w:r w:rsidR="00A16F5C" w:rsidRPr="000E719D">
        <w:rPr>
          <w:sz w:val="22"/>
          <w:szCs w:val="22"/>
        </w:rPr>
        <w:t>Advanced Target Pointer/Illuminator Aiming Laser</w:t>
      </w:r>
      <w:r w:rsidR="00A16F5C" w:rsidRPr="0009191C">
        <w:rPr>
          <w:sz w:val="22"/>
          <w:szCs w:val="22"/>
        </w:rPr>
        <w:t xml:space="preserve"> </w:t>
      </w:r>
      <w:r w:rsidR="000E719D">
        <w:rPr>
          <w:sz w:val="22"/>
          <w:szCs w:val="22"/>
        </w:rPr>
        <w:t>(</w:t>
      </w:r>
      <w:r w:rsidRPr="0009191C">
        <w:rPr>
          <w:sz w:val="22"/>
          <w:szCs w:val="22"/>
        </w:rPr>
        <w:t>ATPIAL/SAL</w:t>
      </w:r>
      <w:r w:rsidR="000E719D">
        <w:rPr>
          <w:sz w:val="22"/>
          <w:szCs w:val="22"/>
        </w:rPr>
        <w:t>)</w:t>
      </w:r>
      <w:r w:rsidRPr="0009191C">
        <w:rPr>
          <w:sz w:val="22"/>
          <w:szCs w:val="22"/>
        </w:rPr>
        <w:t xml:space="preserve"> cap</w:t>
      </w:r>
      <w:r w:rsidRPr="00ED405D">
        <w:rPr>
          <w:sz w:val="22"/>
          <w:szCs w:val="22"/>
        </w:rPr>
        <w:t>ability by adding a</w:t>
      </w:r>
      <w:r w:rsidR="00C80B0E">
        <w:rPr>
          <w:sz w:val="22"/>
          <w:szCs w:val="22"/>
        </w:rPr>
        <w:t xml:space="preserve"> </w:t>
      </w:r>
      <w:r w:rsidRPr="00ED405D">
        <w:rPr>
          <w:sz w:val="22"/>
          <w:szCs w:val="22"/>
        </w:rPr>
        <w:t>range finder function for t</w:t>
      </w:r>
      <w:r w:rsidRPr="0009191C">
        <w:rPr>
          <w:sz w:val="22"/>
          <w:szCs w:val="22"/>
        </w:rPr>
        <w:t>he A</w:t>
      </w:r>
      <w:r w:rsidR="009A5261">
        <w:rPr>
          <w:sz w:val="22"/>
          <w:szCs w:val="22"/>
        </w:rPr>
        <w:t xml:space="preserve">ssault </w:t>
      </w:r>
      <w:r w:rsidRPr="0009191C">
        <w:rPr>
          <w:sz w:val="22"/>
          <w:szCs w:val="22"/>
        </w:rPr>
        <w:t>R</w:t>
      </w:r>
      <w:r w:rsidR="009A5261">
        <w:rPr>
          <w:sz w:val="22"/>
          <w:szCs w:val="22"/>
        </w:rPr>
        <w:t>ifle</w:t>
      </w:r>
      <w:r w:rsidRPr="0009191C">
        <w:rPr>
          <w:sz w:val="22"/>
          <w:szCs w:val="22"/>
        </w:rPr>
        <w:t xml:space="preserve"> or D</w:t>
      </w:r>
      <w:r w:rsidRPr="00ED405D">
        <w:rPr>
          <w:sz w:val="22"/>
          <w:szCs w:val="22"/>
        </w:rPr>
        <w:t>esignated Marksman Rifle (DMR) and Light Machine Gun</w:t>
      </w:r>
      <w:r w:rsidR="00C80B0E">
        <w:rPr>
          <w:sz w:val="22"/>
          <w:szCs w:val="22"/>
        </w:rPr>
        <w:t xml:space="preserve"> </w:t>
      </w:r>
      <w:r>
        <w:rPr>
          <w:sz w:val="22"/>
          <w:szCs w:val="22"/>
        </w:rPr>
        <w:t>(LMG) for 0</w:t>
      </w:r>
      <w:r w:rsidRPr="00ED405D">
        <w:rPr>
          <w:sz w:val="22"/>
          <w:szCs w:val="22"/>
        </w:rPr>
        <w:t xml:space="preserve">-900 meter system accuracy. </w:t>
      </w:r>
      <w:r w:rsidR="00C80B0E">
        <w:rPr>
          <w:sz w:val="22"/>
          <w:szCs w:val="22"/>
        </w:rPr>
        <w:t xml:space="preserve"> </w:t>
      </w:r>
      <w:r w:rsidRPr="00ED405D">
        <w:rPr>
          <w:sz w:val="22"/>
          <w:szCs w:val="22"/>
        </w:rPr>
        <w:t>Weapons mounted range finders are commercially</w:t>
      </w:r>
      <w:r w:rsidR="00C80B0E">
        <w:rPr>
          <w:sz w:val="22"/>
          <w:szCs w:val="22"/>
        </w:rPr>
        <w:t xml:space="preserve"> </w:t>
      </w:r>
      <w:r w:rsidRPr="00ED405D">
        <w:rPr>
          <w:sz w:val="22"/>
          <w:szCs w:val="22"/>
        </w:rPr>
        <w:t>available for interim capability but require further</w:t>
      </w:r>
      <w:r w:rsidR="00C80B0E">
        <w:rPr>
          <w:sz w:val="22"/>
          <w:szCs w:val="22"/>
        </w:rPr>
        <w:t xml:space="preserve"> development and</w:t>
      </w:r>
      <w:r w:rsidRPr="00ED405D">
        <w:rPr>
          <w:sz w:val="22"/>
          <w:szCs w:val="22"/>
        </w:rPr>
        <w:t xml:space="preserve"> integration with visual augmentation systems (VAS) to ac</w:t>
      </w:r>
      <w:r w:rsidRPr="0009191C">
        <w:rPr>
          <w:sz w:val="22"/>
          <w:szCs w:val="22"/>
        </w:rPr>
        <w:t>hieve MAS-L objectives.</w:t>
      </w:r>
    </w:p>
    <w:p w14:paraId="193322D4" w14:textId="77777777" w:rsidR="004B164E" w:rsidRDefault="004B164E" w:rsidP="00C80B0E"/>
    <w:p w14:paraId="59CBF110" w14:textId="77777777" w:rsidR="004B164E" w:rsidRDefault="004B164E" w:rsidP="004B164E">
      <w:pPr>
        <w:rPr>
          <w:sz w:val="22"/>
          <w:szCs w:val="22"/>
        </w:rPr>
      </w:pPr>
      <w:r w:rsidRPr="00344777">
        <w:rPr>
          <w:b/>
          <w:sz w:val="22"/>
          <w:szCs w:val="22"/>
        </w:rPr>
        <w:t>III.</w:t>
      </w:r>
      <w:r w:rsidRPr="004B164E">
        <w:rPr>
          <w:sz w:val="22"/>
          <w:szCs w:val="22"/>
        </w:rPr>
        <w:t xml:space="preserve">  </w:t>
      </w:r>
      <w:r w:rsidRPr="004B164E">
        <w:rPr>
          <w:b/>
          <w:sz w:val="22"/>
          <w:szCs w:val="22"/>
        </w:rPr>
        <w:t>OVERALL OBJECTIVE:</w:t>
      </w:r>
    </w:p>
    <w:p w14:paraId="7FEBC8AD" w14:textId="77777777" w:rsidR="004B164E" w:rsidRDefault="004B164E" w:rsidP="004B164E">
      <w:pPr>
        <w:rPr>
          <w:sz w:val="22"/>
          <w:szCs w:val="22"/>
        </w:rPr>
      </w:pPr>
    </w:p>
    <w:p w14:paraId="137E9B32" w14:textId="480ADE7A" w:rsidR="004B164E" w:rsidRDefault="004B164E" w:rsidP="00C80B0E">
      <w:pPr>
        <w:jc w:val="both"/>
        <w:rPr>
          <w:sz w:val="22"/>
          <w:szCs w:val="22"/>
        </w:rPr>
      </w:pPr>
      <w:r w:rsidRPr="00A3698D">
        <w:rPr>
          <w:sz w:val="22"/>
          <w:szCs w:val="22"/>
        </w:rPr>
        <w:t>The objective of this Statement of Objectives</w:t>
      </w:r>
      <w:r w:rsidR="00110C13" w:rsidRPr="00A3698D">
        <w:rPr>
          <w:sz w:val="22"/>
          <w:szCs w:val="22"/>
        </w:rPr>
        <w:t xml:space="preserve"> (SOO)</w:t>
      </w:r>
      <w:r w:rsidRPr="00A3698D">
        <w:rPr>
          <w:sz w:val="22"/>
          <w:szCs w:val="22"/>
        </w:rPr>
        <w:t xml:space="preserve"> is to develop applied research toward an innovative capability to allow operators to </w:t>
      </w:r>
      <w:r w:rsidR="002A3421" w:rsidRPr="00A3698D">
        <w:rPr>
          <w:sz w:val="22"/>
          <w:szCs w:val="22"/>
        </w:rPr>
        <w:t xml:space="preserve">illuminate and </w:t>
      </w:r>
      <w:proofErr w:type="gramStart"/>
      <w:r w:rsidR="002A3421" w:rsidRPr="00A3698D">
        <w:rPr>
          <w:sz w:val="22"/>
          <w:szCs w:val="22"/>
        </w:rPr>
        <w:t>detect</w:t>
      </w:r>
      <w:r w:rsidR="0018018E">
        <w:rPr>
          <w:sz w:val="22"/>
          <w:szCs w:val="22"/>
        </w:rPr>
        <w:t>, and</w:t>
      </w:r>
      <w:proofErr w:type="gramEnd"/>
      <w:r w:rsidR="0018018E">
        <w:rPr>
          <w:sz w:val="22"/>
          <w:szCs w:val="22"/>
        </w:rPr>
        <w:t xml:space="preserve"> range</w:t>
      </w:r>
      <w:r w:rsidR="002A3421" w:rsidRPr="00A3698D">
        <w:rPr>
          <w:sz w:val="22"/>
          <w:szCs w:val="22"/>
        </w:rPr>
        <w:t xml:space="preserve"> human targets from 0-900 meters</w:t>
      </w:r>
      <w:r w:rsidR="0018018E">
        <w:rPr>
          <w:sz w:val="22"/>
          <w:szCs w:val="22"/>
        </w:rPr>
        <w:t xml:space="preserve"> </w:t>
      </w:r>
      <w:r w:rsidR="002A3421" w:rsidRPr="002A3421">
        <w:rPr>
          <w:sz w:val="22"/>
          <w:szCs w:val="22"/>
        </w:rPr>
        <w:t xml:space="preserve">and beyond when using the PVS-31 or PVS-31A Binocular Night Vision Device (BNVD).  </w:t>
      </w:r>
    </w:p>
    <w:p w14:paraId="7B149ADD" w14:textId="77777777" w:rsidR="004B164E" w:rsidRDefault="004B164E" w:rsidP="004B164E">
      <w:pPr>
        <w:rPr>
          <w:sz w:val="22"/>
          <w:szCs w:val="22"/>
        </w:rPr>
      </w:pPr>
    </w:p>
    <w:p w14:paraId="6085F7FC" w14:textId="77777777" w:rsidR="004B164E" w:rsidRDefault="004B164E" w:rsidP="004B164E">
      <w:pPr>
        <w:rPr>
          <w:sz w:val="22"/>
          <w:szCs w:val="22"/>
        </w:rPr>
      </w:pPr>
      <w:r w:rsidRPr="00344777">
        <w:rPr>
          <w:b/>
          <w:sz w:val="22"/>
          <w:szCs w:val="22"/>
        </w:rPr>
        <w:t>IV.</w:t>
      </w:r>
      <w:r>
        <w:rPr>
          <w:sz w:val="22"/>
          <w:szCs w:val="22"/>
        </w:rPr>
        <w:t xml:space="preserve">  </w:t>
      </w:r>
      <w:r w:rsidRPr="004B164E">
        <w:rPr>
          <w:b/>
          <w:sz w:val="22"/>
          <w:szCs w:val="22"/>
        </w:rPr>
        <w:t>REQUIREMENTS</w:t>
      </w:r>
      <w:r>
        <w:rPr>
          <w:b/>
          <w:sz w:val="22"/>
          <w:szCs w:val="22"/>
        </w:rPr>
        <w:t>:</w:t>
      </w:r>
    </w:p>
    <w:p w14:paraId="0E876760" w14:textId="77777777" w:rsidR="004B164E" w:rsidRDefault="004B164E" w:rsidP="004B164E">
      <w:pPr>
        <w:rPr>
          <w:sz w:val="22"/>
          <w:szCs w:val="22"/>
        </w:rPr>
      </w:pPr>
    </w:p>
    <w:p w14:paraId="7B9585C5" w14:textId="7D6F3E35" w:rsidR="006545B7" w:rsidRPr="00523363" w:rsidRDefault="004B164E" w:rsidP="00C80B0E">
      <w:pPr>
        <w:pStyle w:val="ListParagraph"/>
        <w:numPr>
          <w:ilvl w:val="0"/>
          <w:numId w:val="1"/>
        </w:numPr>
        <w:jc w:val="both"/>
        <w:rPr>
          <w:sz w:val="22"/>
          <w:szCs w:val="22"/>
        </w:rPr>
      </w:pPr>
      <w:r w:rsidRPr="004B164E">
        <w:rPr>
          <w:b/>
          <w:sz w:val="22"/>
          <w:szCs w:val="22"/>
        </w:rPr>
        <w:t xml:space="preserve">General:  </w:t>
      </w:r>
      <w:r>
        <w:rPr>
          <w:sz w:val="22"/>
          <w:szCs w:val="22"/>
        </w:rPr>
        <w:t>The contractor shall d</w:t>
      </w:r>
      <w:r w:rsidRPr="004B164E">
        <w:rPr>
          <w:sz w:val="22"/>
          <w:szCs w:val="22"/>
        </w:rPr>
        <w:t xml:space="preserve">emonstrate and deliver </w:t>
      </w:r>
      <w:r w:rsidR="00E45229">
        <w:rPr>
          <w:sz w:val="22"/>
          <w:szCs w:val="22"/>
        </w:rPr>
        <w:t>twelve (</w:t>
      </w:r>
      <w:r w:rsidRPr="004B164E">
        <w:rPr>
          <w:sz w:val="22"/>
          <w:szCs w:val="22"/>
        </w:rPr>
        <w:t>12</w:t>
      </w:r>
      <w:r w:rsidR="00E45229">
        <w:rPr>
          <w:sz w:val="22"/>
          <w:szCs w:val="22"/>
        </w:rPr>
        <w:t>)</w:t>
      </w:r>
      <w:r w:rsidRPr="004B164E">
        <w:rPr>
          <w:sz w:val="22"/>
          <w:szCs w:val="22"/>
        </w:rPr>
        <w:t xml:space="preserve"> prototype </w:t>
      </w:r>
      <w:r w:rsidR="00A3698D" w:rsidRPr="00A3698D">
        <w:rPr>
          <w:sz w:val="22"/>
          <w:szCs w:val="22"/>
        </w:rPr>
        <w:t>Minature Aiming Ranging Laser</w:t>
      </w:r>
      <w:r w:rsidR="00A3698D">
        <w:rPr>
          <w:sz w:val="22"/>
          <w:szCs w:val="22"/>
        </w:rPr>
        <w:t xml:space="preserve"> (</w:t>
      </w:r>
      <w:r w:rsidR="002A3421">
        <w:rPr>
          <w:sz w:val="22"/>
          <w:szCs w:val="22"/>
        </w:rPr>
        <w:t>MARL</w:t>
      </w:r>
      <w:r w:rsidR="00A3698D">
        <w:rPr>
          <w:sz w:val="22"/>
          <w:szCs w:val="22"/>
        </w:rPr>
        <w:t>)</w:t>
      </w:r>
      <w:r w:rsidRPr="004B164E">
        <w:rPr>
          <w:sz w:val="22"/>
          <w:szCs w:val="22"/>
        </w:rPr>
        <w:t xml:space="preserve"> units that will allow operators to </w:t>
      </w:r>
      <w:r w:rsidR="002A3421" w:rsidRPr="002A3421">
        <w:rPr>
          <w:sz w:val="22"/>
          <w:szCs w:val="22"/>
        </w:rPr>
        <w:t xml:space="preserve">illuminate, and detect human targets from 0-900 meters, vehicle targets from 0-3,000 meters and beyond when using the PVS-31 or PVS-31A Binocular Night Vision Device (BNVD).  </w:t>
      </w:r>
      <w:r w:rsidRPr="004B164E">
        <w:rPr>
          <w:sz w:val="22"/>
          <w:szCs w:val="22"/>
        </w:rPr>
        <w:t xml:space="preserve">The intent of this </w:t>
      </w:r>
      <w:r w:rsidR="00523363">
        <w:rPr>
          <w:sz w:val="22"/>
          <w:szCs w:val="22"/>
        </w:rPr>
        <w:t>laser</w:t>
      </w:r>
      <w:r w:rsidR="00523363" w:rsidRPr="00523363">
        <w:rPr>
          <w:rFonts w:ascii="Times New Roman" w:eastAsiaTheme="minorHAnsi" w:hAnsi="Times New Roman" w:cs="Times New Roman"/>
        </w:rPr>
        <w:t xml:space="preserve"> </w:t>
      </w:r>
      <w:r w:rsidR="00523363">
        <w:rPr>
          <w:sz w:val="22"/>
          <w:szCs w:val="22"/>
        </w:rPr>
        <w:t>is to increase</w:t>
      </w:r>
      <w:r w:rsidR="00523363" w:rsidRPr="00523363">
        <w:rPr>
          <w:sz w:val="22"/>
          <w:szCs w:val="22"/>
        </w:rPr>
        <w:t xml:space="preserve"> the ATPIAL/SAL capability by adding a</w:t>
      </w:r>
      <w:r w:rsidR="00523363">
        <w:rPr>
          <w:sz w:val="22"/>
          <w:szCs w:val="22"/>
        </w:rPr>
        <w:t xml:space="preserve"> </w:t>
      </w:r>
      <w:r w:rsidR="00523363" w:rsidRPr="00523363">
        <w:rPr>
          <w:sz w:val="22"/>
          <w:szCs w:val="22"/>
        </w:rPr>
        <w:t xml:space="preserve">range finder function for the </w:t>
      </w:r>
      <w:r w:rsidR="00523363" w:rsidRPr="0009191C">
        <w:rPr>
          <w:sz w:val="22"/>
          <w:szCs w:val="22"/>
        </w:rPr>
        <w:t>AR or Designated Ma</w:t>
      </w:r>
      <w:r w:rsidR="00523363" w:rsidRPr="00523363">
        <w:rPr>
          <w:sz w:val="22"/>
          <w:szCs w:val="22"/>
        </w:rPr>
        <w:t>rksman Rifle (DMR) and Light Machine Gun</w:t>
      </w:r>
      <w:r w:rsidR="00523363">
        <w:rPr>
          <w:sz w:val="22"/>
          <w:szCs w:val="22"/>
        </w:rPr>
        <w:t xml:space="preserve"> (LMG). </w:t>
      </w:r>
      <w:r w:rsidRPr="00523363">
        <w:rPr>
          <w:sz w:val="22"/>
          <w:szCs w:val="22"/>
        </w:rPr>
        <w:t xml:space="preserve"> This capability shall meet the requirements in the description below.</w:t>
      </w:r>
    </w:p>
    <w:p w14:paraId="3239C3BD" w14:textId="77777777" w:rsidR="006545B7" w:rsidRPr="006545B7" w:rsidRDefault="006545B7" w:rsidP="006545B7">
      <w:pPr>
        <w:pStyle w:val="ListParagraph"/>
        <w:ind w:left="1080"/>
        <w:rPr>
          <w:sz w:val="22"/>
          <w:szCs w:val="22"/>
        </w:rPr>
      </w:pPr>
    </w:p>
    <w:p w14:paraId="6D16F629" w14:textId="77777777" w:rsidR="004B164E" w:rsidRDefault="006545B7" w:rsidP="00C80B0E">
      <w:pPr>
        <w:pStyle w:val="ListParagraph"/>
        <w:numPr>
          <w:ilvl w:val="1"/>
          <w:numId w:val="1"/>
        </w:numPr>
        <w:jc w:val="both"/>
        <w:rPr>
          <w:sz w:val="22"/>
          <w:szCs w:val="22"/>
        </w:rPr>
      </w:pPr>
      <w:r>
        <w:rPr>
          <w:b/>
          <w:sz w:val="22"/>
          <w:szCs w:val="22"/>
        </w:rPr>
        <w:t>Detailed Requirements:</w:t>
      </w:r>
      <w:r>
        <w:rPr>
          <w:sz w:val="22"/>
          <w:szCs w:val="22"/>
        </w:rPr>
        <w:t xml:space="preserve">  The Contractor shall design, develop, fabricate, test, demonstrate, and deliver the </w:t>
      </w:r>
      <w:r w:rsidR="00523363">
        <w:rPr>
          <w:sz w:val="22"/>
          <w:szCs w:val="22"/>
        </w:rPr>
        <w:t>twelve (</w:t>
      </w:r>
      <w:r>
        <w:rPr>
          <w:sz w:val="22"/>
          <w:szCs w:val="22"/>
        </w:rPr>
        <w:t>12</w:t>
      </w:r>
      <w:r w:rsidR="00523363">
        <w:rPr>
          <w:sz w:val="22"/>
          <w:szCs w:val="22"/>
        </w:rPr>
        <w:t>)</w:t>
      </w:r>
      <w:r>
        <w:rPr>
          <w:sz w:val="22"/>
          <w:szCs w:val="22"/>
        </w:rPr>
        <w:t xml:space="preserve"> prototype </w:t>
      </w:r>
      <w:r w:rsidR="002A3421">
        <w:rPr>
          <w:sz w:val="22"/>
          <w:szCs w:val="22"/>
        </w:rPr>
        <w:t>MARL units that</w:t>
      </w:r>
      <w:r>
        <w:rPr>
          <w:sz w:val="22"/>
          <w:szCs w:val="22"/>
        </w:rPr>
        <w:t xml:space="preserve"> mee</w:t>
      </w:r>
      <w:r w:rsidR="00110C13">
        <w:rPr>
          <w:sz w:val="22"/>
          <w:szCs w:val="22"/>
        </w:rPr>
        <w:t>t</w:t>
      </w:r>
      <w:r>
        <w:rPr>
          <w:sz w:val="22"/>
          <w:szCs w:val="22"/>
        </w:rPr>
        <w:t xml:space="preserve"> the following performance requirements.</w:t>
      </w:r>
    </w:p>
    <w:p w14:paraId="24EE6E32" w14:textId="77777777" w:rsidR="006545B7" w:rsidRDefault="006545B7" w:rsidP="00C80B0E">
      <w:pPr>
        <w:pStyle w:val="ListParagraph"/>
        <w:ind w:left="1800"/>
        <w:jc w:val="both"/>
        <w:rPr>
          <w:sz w:val="22"/>
          <w:szCs w:val="22"/>
        </w:rPr>
      </w:pPr>
    </w:p>
    <w:p w14:paraId="6A062BD5" w14:textId="77777777" w:rsidR="00523363" w:rsidRPr="00523363" w:rsidRDefault="00523363" w:rsidP="00C80B0E">
      <w:pPr>
        <w:pStyle w:val="ListParagraph"/>
        <w:numPr>
          <w:ilvl w:val="2"/>
          <w:numId w:val="1"/>
        </w:numPr>
        <w:ind w:left="1260"/>
        <w:jc w:val="both"/>
        <w:rPr>
          <w:sz w:val="22"/>
          <w:szCs w:val="22"/>
        </w:rPr>
      </w:pPr>
      <w:r w:rsidRPr="00523363">
        <w:rPr>
          <w:sz w:val="22"/>
          <w:szCs w:val="22"/>
        </w:rPr>
        <w:t>Shall be less than or equal to 16 cubic inches.</w:t>
      </w:r>
    </w:p>
    <w:p w14:paraId="09CC8903" w14:textId="77777777" w:rsidR="00523363" w:rsidRPr="00523363" w:rsidRDefault="00523363" w:rsidP="00C80B0E">
      <w:pPr>
        <w:pStyle w:val="ListParagraph"/>
        <w:numPr>
          <w:ilvl w:val="2"/>
          <w:numId w:val="1"/>
        </w:numPr>
        <w:ind w:left="1260"/>
        <w:jc w:val="both"/>
        <w:rPr>
          <w:sz w:val="22"/>
          <w:szCs w:val="22"/>
        </w:rPr>
      </w:pPr>
      <w:r w:rsidRPr="00523363">
        <w:rPr>
          <w:sz w:val="22"/>
          <w:szCs w:val="22"/>
        </w:rPr>
        <w:t>Shall weigh no more than 10 ounces.</w:t>
      </w:r>
    </w:p>
    <w:p w14:paraId="06B0EA85" w14:textId="77777777" w:rsidR="00523363" w:rsidRPr="00523363" w:rsidRDefault="00523363" w:rsidP="00C80B0E">
      <w:pPr>
        <w:pStyle w:val="ListParagraph"/>
        <w:numPr>
          <w:ilvl w:val="2"/>
          <w:numId w:val="1"/>
        </w:numPr>
        <w:ind w:left="1260"/>
        <w:jc w:val="both"/>
        <w:rPr>
          <w:sz w:val="22"/>
          <w:szCs w:val="22"/>
        </w:rPr>
      </w:pPr>
      <w:r>
        <w:rPr>
          <w:sz w:val="22"/>
          <w:szCs w:val="22"/>
        </w:rPr>
        <w:t xml:space="preserve">   </w:t>
      </w:r>
      <w:r w:rsidRPr="00523363">
        <w:rPr>
          <w:sz w:val="22"/>
          <w:szCs w:val="22"/>
        </w:rPr>
        <w:t>Shall include a visible aiming/pointing laser in the 610-670 nm wavelength.</w:t>
      </w:r>
    </w:p>
    <w:p w14:paraId="4C21AD28" w14:textId="77777777" w:rsidR="00523363" w:rsidRPr="00523363" w:rsidRDefault="00523363" w:rsidP="00C80B0E">
      <w:pPr>
        <w:pStyle w:val="ListParagraph"/>
        <w:numPr>
          <w:ilvl w:val="2"/>
          <w:numId w:val="1"/>
        </w:numPr>
        <w:ind w:left="1260"/>
        <w:jc w:val="both"/>
        <w:rPr>
          <w:sz w:val="22"/>
          <w:szCs w:val="22"/>
        </w:rPr>
      </w:pPr>
      <w:r w:rsidRPr="00523363">
        <w:rPr>
          <w:sz w:val="22"/>
          <w:szCs w:val="22"/>
        </w:rPr>
        <w:t xml:space="preserve">Shall include a Near Infrared aiming/pointing laser in the 820-900 nm wavelength. </w:t>
      </w:r>
    </w:p>
    <w:p w14:paraId="7601BA97" w14:textId="1B8E207D" w:rsidR="00523363" w:rsidRPr="00E22070" w:rsidRDefault="00523363">
      <w:pPr>
        <w:pStyle w:val="ListParagraph"/>
        <w:numPr>
          <w:ilvl w:val="2"/>
          <w:numId w:val="1"/>
        </w:numPr>
        <w:ind w:left="1260"/>
        <w:jc w:val="both"/>
        <w:rPr>
          <w:sz w:val="22"/>
          <w:szCs w:val="22"/>
        </w:rPr>
      </w:pPr>
      <w:r w:rsidRPr="00E22070">
        <w:rPr>
          <w:sz w:val="22"/>
          <w:szCs w:val="22"/>
        </w:rPr>
        <w:t xml:space="preserve">Shall include a laser range finder in the 1400-1700 nm wavelength.   </w:t>
      </w:r>
    </w:p>
    <w:p w14:paraId="3B602FE9" w14:textId="77777777" w:rsidR="00523363" w:rsidRPr="00523363" w:rsidRDefault="00523363" w:rsidP="00C80B0E">
      <w:pPr>
        <w:pStyle w:val="ListParagraph"/>
        <w:numPr>
          <w:ilvl w:val="2"/>
          <w:numId w:val="1"/>
        </w:numPr>
        <w:ind w:left="1260"/>
        <w:jc w:val="both"/>
        <w:rPr>
          <w:sz w:val="22"/>
          <w:szCs w:val="22"/>
        </w:rPr>
      </w:pPr>
      <w:r w:rsidRPr="00523363">
        <w:rPr>
          <w:sz w:val="22"/>
          <w:szCs w:val="22"/>
        </w:rPr>
        <w:t xml:space="preserve">Shall be interoperable with a MIL-STD-1913 rail interface. </w:t>
      </w:r>
    </w:p>
    <w:p w14:paraId="741ADDA0" w14:textId="77777777" w:rsidR="00523363" w:rsidRPr="00523363" w:rsidRDefault="00523363" w:rsidP="00C80B0E">
      <w:pPr>
        <w:pStyle w:val="ListParagraph"/>
        <w:numPr>
          <w:ilvl w:val="2"/>
          <w:numId w:val="1"/>
        </w:numPr>
        <w:ind w:left="1260"/>
        <w:jc w:val="both"/>
        <w:rPr>
          <w:sz w:val="22"/>
          <w:szCs w:val="22"/>
        </w:rPr>
      </w:pPr>
      <w:r w:rsidRPr="00523363">
        <w:rPr>
          <w:sz w:val="22"/>
          <w:szCs w:val="22"/>
        </w:rPr>
        <w:t>Shall have a visible laser power output that allows for the operator to view the laser point at 25m (low power), 100m (high power).</w:t>
      </w:r>
    </w:p>
    <w:p w14:paraId="45B5371D" w14:textId="0FD46FC3" w:rsidR="00523363" w:rsidRPr="00523363" w:rsidRDefault="00523363" w:rsidP="00C80B0E">
      <w:pPr>
        <w:pStyle w:val="ListParagraph"/>
        <w:numPr>
          <w:ilvl w:val="2"/>
          <w:numId w:val="1"/>
        </w:numPr>
        <w:ind w:left="1260"/>
        <w:jc w:val="both"/>
        <w:rPr>
          <w:sz w:val="22"/>
          <w:szCs w:val="22"/>
        </w:rPr>
      </w:pPr>
      <w:r>
        <w:rPr>
          <w:sz w:val="22"/>
          <w:szCs w:val="22"/>
        </w:rPr>
        <w:t xml:space="preserve">   </w:t>
      </w:r>
      <w:r w:rsidRPr="00523363">
        <w:rPr>
          <w:sz w:val="22"/>
          <w:szCs w:val="22"/>
        </w:rPr>
        <w:t xml:space="preserve">Shall have a NIR Pointer power output that allows for the operator to view the laser point at </w:t>
      </w:r>
      <w:r w:rsidR="0018018E">
        <w:rPr>
          <w:sz w:val="22"/>
          <w:szCs w:val="22"/>
        </w:rPr>
        <w:t>100</w:t>
      </w:r>
      <w:r w:rsidR="0018018E" w:rsidRPr="00523363">
        <w:rPr>
          <w:sz w:val="22"/>
          <w:szCs w:val="22"/>
        </w:rPr>
        <w:t xml:space="preserve">m </w:t>
      </w:r>
      <w:r w:rsidRPr="00523363">
        <w:rPr>
          <w:sz w:val="22"/>
          <w:szCs w:val="22"/>
        </w:rPr>
        <w:t xml:space="preserve">(low power), </w:t>
      </w:r>
      <w:r w:rsidR="0018018E">
        <w:rPr>
          <w:sz w:val="22"/>
          <w:szCs w:val="22"/>
        </w:rPr>
        <w:t>900</w:t>
      </w:r>
      <w:r w:rsidR="0018018E" w:rsidRPr="00523363">
        <w:rPr>
          <w:sz w:val="22"/>
          <w:szCs w:val="22"/>
        </w:rPr>
        <w:t xml:space="preserve">m </w:t>
      </w:r>
      <w:r w:rsidRPr="00523363">
        <w:rPr>
          <w:sz w:val="22"/>
          <w:szCs w:val="22"/>
        </w:rPr>
        <w:t xml:space="preserve">(high power). </w:t>
      </w:r>
    </w:p>
    <w:p w14:paraId="54103444" w14:textId="77777777" w:rsidR="00523363" w:rsidRPr="00523363" w:rsidRDefault="00523363" w:rsidP="00C80B0E">
      <w:pPr>
        <w:pStyle w:val="ListParagraph"/>
        <w:numPr>
          <w:ilvl w:val="2"/>
          <w:numId w:val="1"/>
        </w:numPr>
        <w:ind w:left="1260"/>
        <w:jc w:val="both"/>
        <w:rPr>
          <w:sz w:val="22"/>
          <w:szCs w:val="22"/>
        </w:rPr>
      </w:pPr>
      <w:r>
        <w:rPr>
          <w:sz w:val="22"/>
          <w:szCs w:val="22"/>
        </w:rPr>
        <w:t xml:space="preserve">   </w:t>
      </w:r>
      <w:r w:rsidRPr="00523363">
        <w:rPr>
          <w:sz w:val="22"/>
          <w:szCs w:val="22"/>
        </w:rPr>
        <w:t xml:space="preserve">Shall have a Laser Range Finder with sufficient power output to range a man size target at 900 meters. </w:t>
      </w:r>
    </w:p>
    <w:p w14:paraId="0CB201A7" w14:textId="77777777" w:rsidR="00523363" w:rsidRPr="00523363" w:rsidRDefault="00523363" w:rsidP="00C80B0E">
      <w:pPr>
        <w:pStyle w:val="ListParagraph"/>
        <w:numPr>
          <w:ilvl w:val="2"/>
          <w:numId w:val="1"/>
        </w:numPr>
        <w:ind w:left="1260"/>
        <w:jc w:val="both"/>
        <w:rPr>
          <w:sz w:val="22"/>
          <w:szCs w:val="22"/>
        </w:rPr>
      </w:pPr>
      <w:r>
        <w:rPr>
          <w:sz w:val="22"/>
          <w:szCs w:val="22"/>
        </w:rPr>
        <w:t xml:space="preserve">   </w:t>
      </w:r>
      <w:r w:rsidRPr="00523363">
        <w:rPr>
          <w:sz w:val="22"/>
          <w:szCs w:val="22"/>
        </w:rPr>
        <w:t xml:space="preserve">Shall have an adjustable </w:t>
      </w:r>
      <w:r w:rsidR="00C80B0E" w:rsidRPr="00C80B0E">
        <w:rPr>
          <w:sz w:val="22"/>
          <w:szCs w:val="22"/>
        </w:rPr>
        <w:t>NIR Illumination Field of less than or equal to 1 to greater than or equal to 6 degrees</w:t>
      </w:r>
      <w:r w:rsidRPr="00523363">
        <w:rPr>
          <w:sz w:val="22"/>
          <w:szCs w:val="22"/>
        </w:rPr>
        <w:t xml:space="preserve"> </w:t>
      </w:r>
    </w:p>
    <w:p w14:paraId="23F61B31" w14:textId="63D03F2A" w:rsidR="00523363" w:rsidRPr="00523363" w:rsidRDefault="00523363" w:rsidP="00C80B0E">
      <w:pPr>
        <w:pStyle w:val="ListParagraph"/>
        <w:numPr>
          <w:ilvl w:val="2"/>
          <w:numId w:val="1"/>
        </w:numPr>
        <w:ind w:left="1260"/>
        <w:jc w:val="both"/>
        <w:rPr>
          <w:sz w:val="22"/>
          <w:szCs w:val="22"/>
        </w:rPr>
      </w:pPr>
      <w:r>
        <w:rPr>
          <w:sz w:val="22"/>
          <w:szCs w:val="22"/>
        </w:rPr>
        <w:t xml:space="preserve">   </w:t>
      </w:r>
      <w:r w:rsidR="00C80B0E" w:rsidRPr="00C80B0E">
        <w:rPr>
          <w:sz w:val="22"/>
          <w:szCs w:val="22"/>
        </w:rPr>
        <w:t xml:space="preserve">Shall have NIR Illumination with high and low settings for the power output.  The high NIR illuminator power output shall be </w:t>
      </w:r>
      <w:proofErr w:type="gramStart"/>
      <w:r w:rsidR="00C80B0E" w:rsidRPr="00C80B0E">
        <w:rPr>
          <w:sz w:val="22"/>
          <w:szCs w:val="22"/>
        </w:rPr>
        <w:t>sufficient enough</w:t>
      </w:r>
      <w:proofErr w:type="gramEnd"/>
      <w:r w:rsidR="00C80B0E" w:rsidRPr="00C80B0E">
        <w:rPr>
          <w:sz w:val="22"/>
          <w:szCs w:val="22"/>
        </w:rPr>
        <w:t xml:space="preserve"> to enable the operator to illuminate an approximately 3° field of targets at 900m.  </w:t>
      </w:r>
    </w:p>
    <w:p w14:paraId="337DF121" w14:textId="77777777" w:rsidR="00523363" w:rsidRPr="00523363" w:rsidRDefault="00523363" w:rsidP="00C80B0E">
      <w:pPr>
        <w:pStyle w:val="ListParagraph"/>
        <w:numPr>
          <w:ilvl w:val="2"/>
          <w:numId w:val="1"/>
        </w:numPr>
        <w:ind w:left="1260"/>
        <w:jc w:val="both"/>
        <w:rPr>
          <w:sz w:val="22"/>
          <w:szCs w:val="22"/>
        </w:rPr>
      </w:pPr>
      <w:r w:rsidRPr="00523363">
        <w:rPr>
          <w:sz w:val="22"/>
          <w:szCs w:val="22"/>
        </w:rPr>
        <w:t xml:space="preserve">Shall not deviate from its zeroed position by more than 0.5 </w:t>
      </w:r>
      <w:proofErr w:type="spellStart"/>
      <w:r w:rsidRPr="00523363">
        <w:rPr>
          <w:sz w:val="22"/>
          <w:szCs w:val="22"/>
        </w:rPr>
        <w:t>mrad</w:t>
      </w:r>
      <w:proofErr w:type="spellEnd"/>
      <w:r w:rsidRPr="00523363">
        <w:rPr>
          <w:sz w:val="22"/>
          <w:szCs w:val="22"/>
        </w:rPr>
        <w:t xml:space="preserve"> when subjected to 1000 round intervals of weapon shock. </w:t>
      </w:r>
    </w:p>
    <w:p w14:paraId="01986006" w14:textId="77777777" w:rsidR="00523363" w:rsidRPr="00523363" w:rsidRDefault="00523363" w:rsidP="00C80B0E">
      <w:pPr>
        <w:pStyle w:val="ListParagraph"/>
        <w:numPr>
          <w:ilvl w:val="2"/>
          <w:numId w:val="1"/>
        </w:numPr>
        <w:ind w:left="1260"/>
        <w:jc w:val="both"/>
        <w:rPr>
          <w:sz w:val="22"/>
          <w:szCs w:val="22"/>
        </w:rPr>
      </w:pPr>
      <w:r w:rsidRPr="00523363">
        <w:rPr>
          <w:sz w:val="22"/>
          <w:szCs w:val="22"/>
        </w:rPr>
        <w:t xml:space="preserve">Shall not deviate from its zeroed position by more than 0.25 </w:t>
      </w:r>
      <w:proofErr w:type="spellStart"/>
      <w:r w:rsidRPr="00523363">
        <w:rPr>
          <w:sz w:val="22"/>
          <w:szCs w:val="22"/>
        </w:rPr>
        <w:t>mrad</w:t>
      </w:r>
      <w:proofErr w:type="spellEnd"/>
      <w:r w:rsidRPr="00523363">
        <w:rPr>
          <w:sz w:val="22"/>
          <w:szCs w:val="22"/>
        </w:rPr>
        <w:t xml:space="preserve"> after being detached from, and reattached to, a MIL-STD-1913 rail a minimum of five times. </w:t>
      </w:r>
    </w:p>
    <w:p w14:paraId="4DA88246" w14:textId="77777777" w:rsidR="00523363" w:rsidRPr="00523363" w:rsidRDefault="00523363" w:rsidP="00C80B0E">
      <w:pPr>
        <w:pStyle w:val="ListParagraph"/>
        <w:numPr>
          <w:ilvl w:val="2"/>
          <w:numId w:val="1"/>
        </w:numPr>
        <w:ind w:left="1260"/>
        <w:jc w:val="both"/>
        <w:rPr>
          <w:sz w:val="22"/>
          <w:szCs w:val="22"/>
        </w:rPr>
      </w:pPr>
      <w:r w:rsidRPr="00523363">
        <w:rPr>
          <w:sz w:val="22"/>
          <w:szCs w:val="22"/>
        </w:rPr>
        <w:t>Water proof to at least 66 feet depth for 2 hours.</w:t>
      </w:r>
    </w:p>
    <w:p w14:paraId="549A84D5" w14:textId="68F73CB0" w:rsidR="00523363" w:rsidRPr="00523363" w:rsidRDefault="00523363" w:rsidP="00C80B0E">
      <w:pPr>
        <w:pStyle w:val="ListParagraph"/>
        <w:numPr>
          <w:ilvl w:val="2"/>
          <w:numId w:val="1"/>
        </w:numPr>
        <w:ind w:left="1260"/>
        <w:jc w:val="both"/>
        <w:rPr>
          <w:sz w:val="22"/>
          <w:szCs w:val="22"/>
        </w:rPr>
      </w:pPr>
      <w:r w:rsidRPr="00523363">
        <w:rPr>
          <w:sz w:val="22"/>
          <w:szCs w:val="22"/>
        </w:rPr>
        <w:t xml:space="preserve">Shall have an </w:t>
      </w:r>
      <w:r w:rsidR="0018018E">
        <w:rPr>
          <w:sz w:val="22"/>
          <w:szCs w:val="22"/>
        </w:rPr>
        <w:t xml:space="preserve">adjustable brightness </w:t>
      </w:r>
      <w:r w:rsidRPr="00523363">
        <w:rPr>
          <w:sz w:val="22"/>
          <w:szCs w:val="22"/>
        </w:rPr>
        <w:t>illuminated display</w:t>
      </w:r>
      <w:r w:rsidR="0018018E">
        <w:rPr>
          <w:sz w:val="22"/>
          <w:szCs w:val="22"/>
        </w:rPr>
        <w:t xml:space="preserve"> for day and night</w:t>
      </w:r>
      <w:r w:rsidRPr="00523363">
        <w:rPr>
          <w:sz w:val="22"/>
          <w:szCs w:val="22"/>
        </w:rPr>
        <w:t>.</w:t>
      </w:r>
    </w:p>
    <w:p w14:paraId="63992F75" w14:textId="31AE04EE" w:rsidR="00E22070" w:rsidRDefault="00E22070" w:rsidP="00C80B0E">
      <w:pPr>
        <w:pStyle w:val="ListParagraph"/>
        <w:numPr>
          <w:ilvl w:val="2"/>
          <w:numId w:val="1"/>
        </w:numPr>
        <w:ind w:left="1260"/>
        <w:jc w:val="both"/>
        <w:rPr>
          <w:sz w:val="22"/>
          <w:szCs w:val="22"/>
        </w:rPr>
      </w:pPr>
      <w:r w:rsidRPr="00E22070">
        <w:rPr>
          <w:sz w:val="22"/>
          <w:szCs w:val="22"/>
        </w:rPr>
        <w:t>Shall utilize the Applied Ballistics (AB) calculator. Shall seamlessly utilize integrated environmental sensors as inputs to the ballistic calculation</w:t>
      </w:r>
      <w:r>
        <w:rPr>
          <w:sz w:val="22"/>
          <w:szCs w:val="22"/>
        </w:rPr>
        <w:t>.</w:t>
      </w:r>
    </w:p>
    <w:p w14:paraId="234D7185" w14:textId="77777777" w:rsidR="00E22070" w:rsidRDefault="00E22070" w:rsidP="00E22070">
      <w:pPr>
        <w:pStyle w:val="ListParagraph"/>
        <w:numPr>
          <w:ilvl w:val="2"/>
          <w:numId w:val="1"/>
        </w:numPr>
        <w:ind w:left="1260"/>
        <w:jc w:val="both"/>
        <w:rPr>
          <w:sz w:val="22"/>
          <w:szCs w:val="22"/>
        </w:rPr>
      </w:pPr>
      <w:r>
        <w:rPr>
          <w:sz w:val="22"/>
          <w:szCs w:val="22"/>
        </w:rPr>
        <w:t xml:space="preserve">Shall have an integrated Bluetooth capability that allows the MARL to send and receive data from an enabled AB device, </w:t>
      </w:r>
      <w:proofErr w:type="spellStart"/>
      <w:r>
        <w:rPr>
          <w:sz w:val="22"/>
          <w:szCs w:val="22"/>
        </w:rPr>
        <w:t>ie</w:t>
      </w:r>
      <w:proofErr w:type="spellEnd"/>
      <w:r>
        <w:rPr>
          <w:sz w:val="22"/>
          <w:szCs w:val="22"/>
        </w:rPr>
        <w:t xml:space="preserve">. </w:t>
      </w:r>
      <w:proofErr w:type="gramStart"/>
      <w:r>
        <w:rPr>
          <w:sz w:val="22"/>
          <w:szCs w:val="22"/>
        </w:rPr>
        <w:t>hand held</w:t>
      </w:r>
      <w:proofErr w:type="gramEnd"/>
      <w:r>
        <w:rPr>
          <w:sz w:val="22"/>
          <w:szCs w:val="22"/>
        </w:rPr>
        <w:t xml:space="preserve"> anemometer with ballistic processor. </w:t>
      </w:r>
    </w:p>
    <w:p w14:paraId="7BFFE6FD" w14:textId="44A536D1" w:rsidR="00E22070" w:rsidRPr="004B02A5" w:rsidRDefault="00E22070">
      <w:pPr>
        <w:pStyle w:val="ListParagraph"/>
        <w:numPr>
          <w:ilvl w:val="2"/>
          <w:numId w:val="1"/>
        </w:numPr>
        <w:ind w:left="1260"/>
        <w:jc w:val="both"/>
        <w:rPr>
          <w:sz w:val="22"/>
          <w:szCs w:val="22"/>
        </w:rPr>
      </w:pPr>
      <w:r>
        <w:rPr>
          <w:sz w:val="22"/>
          <w:szCs w:val="22"/>
        </w:rPr>
        <w:t>Shall provide one remote with a 90 degree connector, 20-22 inches in length, and shall mimic the functions of the MARL.</w:t>
      </w:r>
    </w:p>
    <w:p w14:paraId="1BFAAF6A" w14:textId="042FE818" w:rsidR="00523363" w:rsidRDefault="00523363" w:rsidP="00C80B0E">
      <w:pPr>
        <w:pStyle w:val="ListParagraph"/>
        <w:numPr>
          <w:ilvl w:val="2"/>
          <w:numId w:val="1"/>
        </w:numPr>
        <w:ind w:left="1260"/>
        <w:jc w:val="both"/>
        <w:rPr>
          <w:sz w:val="22"/>
          <w:szCs w:val="22"/>
        </w:rPr>
      </w:pPr>
      <w:r w:rsidRPr="00523363">
        <w:rPr>
          <w:sz w:val="22"/>
          <w:szCs w:val="22"/>
        </w:rPr>
        <w:t>Survive all SOCOM SOF environments and be tested per MIL-STD-810H.</w:t>
      </w:r>
    </w:p>
    <w:p w14:paraId="30895D3F" w14:textId="43762BF8" w:rsidR="00E22070" w:rsidRPr="004B02A5" w:rsidRDefault="00E22070">
      <w:pPr>
        <w:pStyle w:val="ListParagraph"/>
        <w:numPr>
          <w:ilvl w:val="2"/>
          <w:numId w:val="1"/>
        </w:numPr>
        <w:ind w:left="1260"/>
        <w:jc w:val="both"/>
        <w:rPr>
          <w:sz w:val="22"/>
          <w:szCs w:val="22"/>
        </w:rPr>
      </w:pPr>
      <w:r>
        <w:rPr>
          <w:sz w:val="22"/>
          <w:szCs w:val="22"/>
        </w:rPr>
        <w:t>MARL should be capable of sending information to an external display in accordance with Interface Control Document (ICD) for Weapon Mounted Ballistic Calculators and Micro-Displays Revision D.</w:t>
      </w:r>
    </w:p>
    <w:p w14:paraId="7B28418F" w14:textId="7E68BD81" w:rsidR="006545B7" w:rsidRDefault="000B6A9D" w:rsidP="003A1065">
      <w:pPr>
        <w:pStyle w:val="ListParagraph"/>
        <w:numPr>
          <w:ilvl w:val="2"/>
          <w:numId w:val="1"/>
        </w:numPr>
        <w:ind w:left="1260"/>
        <w:jc w:val="both"/>
        <w:rPr>
          <w:sz w:val="22"/>
          <w:szCs w:val="22"/>
        </w:rPr>
      </w:pPr>
      <w:r w:rsidRPr="009A5261">
        <w:rPr>
          <w:sz w:val="22"/>
          <w:szCs w:val="22"/>
        </w:rPr>
        <w:t xml:space="preserve"> </w:t>
      </w:r>
      <w:r w:rsidR="009A5261" w:rsidRPr="009A5261">
        <w:rPr>
          <w:sz w:val="22"/>
          <w:szCs w:val="22"/>
        </w:rPr>
        <w:t xml:space="preserve">Meet a maximum </w:t>
      </w:r>
      <w:r w:rsidRPr="009A5261">
        <w:rPr>
          <w:sz w:val="22"/>
          <w:szCs w:val="22"/>
        </w:rPr>
        <w:t>T</w:t>
      </w:r>
      <w:r w:rsidR="009A5261" w:rsidRPr="009A5261">
        <w:rPr>
          <w:sz w:val="22"/>
          <w:szCs w:val="22"/>
        </w:rPr>
        <w:t xml:space="preserve">echnology </w:t>
      </w:r>
      <w:r w:rsidRPr="009A5261">
        <w:rPr>
          <w:sz w:val="22"/>
          <w:szCs w:val="22"/>
        </w:rPr>
        <w:t>R</w:t>
      </w:r>
      <w:r w:rsidR="009A5261" w:rsidRPr="009A5261">
        <w:rPr>
          <w:sz w:val="22"/>
          <w:szCs w:val="22"/>
        </w:rPr>
        <w:t>eadiness L</w:t>
      </w:r>
      <w:r w:rsidRPr="009A5261">
        <w:rPr>
          <w:sz w:val="22"/>
          <w:szCs w:val="22"/>
        </w:rPr>
        <w:t>evel</w:t>
      </w:r>
      <w:r w:rsidR="009A5261" w:rsidRPr="009A5261">
        <w:rPr>
          <w:sz w:val="22"/>
          <w:szCs w:val="22"/>
        </w:rPr>
        <w:t xml:space="preserve"> 7 defined as: System prototype demonstration in an operational environment. Prototype near or at planned operational system. Represents a major step up from TRL 6 by requiring demonstration of an actual system prototype in an operational environment (e.g., in an air-craft, in a vehicle, or in space).”</w:t>
      </w:r>
    </w:p>
    <w:p w14:paraId="133AED82" w14:textId="55BB4B95" w:rsidR="009A5261" w:rsidRDefault="009A5261" w:rsidP="009A5261">
      <w:pPr>
        <w:jc w:val="both"/>
        <w:rPr>
          <w:sz w:val="22"/>
          <w:szCs w:val="22"/>
        </w:rPr>
      </w:pPr>
    </w:p>
    <w:p w14:paraId="0D4F7C1B" w14:textId="29BA6C6C" w:rsidR="009A5261" w:rsidRPr="009A5261" w:rsidRDefault="009A5261" w:rsidP="009A5261">
      <w:pPr>
        <w:jc w:val="both"/>
        <w:rPr>
          <w:sz w:val="22"/>
          <w:szCs w:val="22"/>
        </w:rPr>
      </w:pPr>
      <w:r>
        <w:rPr>
          <w:sz w:val="22"/>
          <w:szCs w:val="22"/>
        </w:rPr>
        <w:t>Note: References to the above Military Standards can be accessed in the public domain.</w:t>
      </w:r>
    </w:p>
    <w:p w14:paraId="625DE219" w14:textId="77777777" w:rsidR="009A5261" w:rsidRPr="009A5261" w:rsidRDefault="009A5261" w:rsidP="009A5261">
      <w:pPr>
        <w:ind w:left="2340"/>
        <w:jc w:val="both"/>
        <w:rPr>
          <w:sz w:val="22"/>
          <w:szCs w:val="22"/>
        </w:rPr>
      </w:pPr>
    </w:p>
    <w:p w14:paraId="5267F2CD" w14:textId="77777777" w:rsidR="006545B7" w:rsidRDefault="006545B7" w:rsidP="006545B7">
      <w:pPr>
        <w:pStyle w:val="ListParagraph"/>
        <w:numPr>
          <w:ilvl w:val="1"/>
          <w:numId w:val="1"/>
        </w:numPr>
        <w:rPr>
          <w:sz w:val="22"/>
          <w:szCs w:val="22"/>
        </w:rPr>
      </w:pPr>
      <w:r>
        <w:rPr>
          <w:b/>
          <w:sz w:val="22"/>
          <w:szCs w:val="22"/>
        </w:rPr>
        <w:t>Component Requirements:</w:t>
      </w:r>
      <w:r>
        <w:rPr>
          <w:sz w:val="22"/>
          <w:szCs w:val="22"/>
        </w:rPr>
        <w:t xml:space="preserve">  N/A</w:t>
      </w:r>
    </w:p>
    <w:p w14:paraId="78DA7304" w14:textId="77777777" w:rsidR="006545B7" w:rsidRDefault="006545B7" w:rsidP="006545B7">
      <w:pPr>
        <w:pStyle w:val="ListParagraph"/>
        <w:ind w:left="1080"/>
        <w:rPr>
          <w:sz w:val="22"/>
          <w:szCs w:val="22"/>
        </w:rPr>
      </w:pPr>
    </w:p>
    <w:p w14:paraId="6F7B6AC5" w14:textId="77777777" w:rsidR="006545B7" w:rsidRDefault="006545B7" w:rsidP="00C80B0E">
      <w:pPr>
        <w:pStyle w:val="ListParagraph"/>
        <w:numPr>
          <w:ilvl w:val="1"/>
          <w:numId w:val="1"/>
        </w:numPr>
        <w:jc w:val="both"/>
        <w:rPr>
          <w:sz w:val="22"/>
          <w:szCs w:val="22"/>
        </w:rPr>
      </w:pPr>
      <w:r>
        <w:rPr>
          <w:b/>
          <w:sz w:val="22"/>
          <w:szCs w:val="22"/>
        </w:rPr>
        <w:t>Unique Item Identification:</w:t>
      </w:r>
      <w:r>
        <w:rPr>
          <w:sz w:val="22"/>
          <w:szCs w:val="22"/>
        </w:rPr>
        <w:t xml:space="preserve">  The contractor shall include the DoD unique item </w:t>
      </w:r>
      <w:proofErr w:type="gramStart"/>
      <w:r>
        <w:rPr>
          <w:sz w:val="22"/>
          <w:szCs w:val="22"/>
        </w:rPr>
        <w:t>identifications</w:t>
      </w:r>
      <w:proofErr w:type="gramEnd"/>
      <w:r>
        <w:rPr>
          <w:sz w:val="22"/>
          <w:szCs w:val="22"/>
        </w:rPr>
        <w:t xml:space="preserve"> or a DoD recognized unique identification equivalent for the prototypes delivered.  This </w:t>
      </w:r>
      <w:r w:rsidRPr="00B24A63">
        <w:rPr>
          <w:sz w:val="22"/>
          <w:szCs w:val="22"/>
        </w:rPr>
        <w:t xml:space="preserve">includes a description and cost breakout as applicable. Information on unique item identifier types is at </w:t>
      </w:r>
      <w:hyperlink r:id="rId10" w:history="1">
        <w:r w:rsidRPr="00B24A63">
          <w:rPr>
            <w:rStyle w:val="Hyperlink"/>
            <w:sz w:val="22"/>
            <w:szCs w:val="22"/>
          </w:rPr>
          <w:t>http://www.acq.osd.mil/dpap/UID/uid_types.html</w:t>
        </w:r>
      </w:hyperlink>
      <w:r w:rsidRPr="00B24A63">
        <w:rPr>
          <w:sz w:val="22"/>
          <w:szCs w:val="22"/>
        </w:rPr>
        <w:t xml:space="preserve">. The guide is at </w:t>
      </w:r>
      <w:hyperlink r:id="rId11" w:history="1">
        <w:r w:rsidRPr="00B24A63">
          <w:rPr>
            <w:rStyle w:val="Hyperlink"/>
            <w:sz w:val="22"/>
            <w:szCs w:val="22"/>
          </w:rPr>
          <w:t>http://www.acq.osd.mil/dpap/UID/guides.htm</w:t>
        </w:r>
      </w:hyperlink>
      <w:r w:rsidRPr="00B24A63">
        <w:rPr>
          <w:sz w:val="22"/>
          <w:szCs w:val="22"/>
        </w:rPr>
        <w:t>. This is in accordance with DFARS 252.211-7003.</w:t>
      </w:r>
    </w:p>
    <w:p w14:paraId="6CBBED64" w14:textId="77777777" w:rsidR="006545B7" w:rsidRPr="006545B7" w:rsidRDefault="006545B7" w:rsidP="006545B7">
      <w:pPr>
        <w:pStyle w:val="ListParagraph"/>
        <w:rPr>
          <w:sz w:val="22"/>
          <w:szCs w:val="22"/>
        </w:rPr>
      </w:pPr>
    </w:p>
    <w:p w14:paraId="008F0FD7" w14:textId="77777777" w:rsidR="006545B7" w:rsidRDefault="006545B7" w:rsidP="00C80B0E">
      <w:pPr>
        <w:pStyle w:val="ListParagraph"/>
        <w:numPr>
          <w:ilvl w:val="1"/>
          <w:numId w:val="1"/>
        </w:numPr>
        <w:jc w:val="both"/>
        <w:rPr>
          <w:sz w:val="22"/>
          <w:szCs w:val="22"/>
        </w:rPr>
      </w:pPr>
      <w:r w:rsidRPr="00D142CE">
        <w:rPr>
          <w:b/>
          <w:sz w:val="22"/>
          <w:szCs w:val="22"/>
        </w:rPr>
        <w:t>S</w:t>
      </w:r>
      <w:r>
        <w:rPr>
          <w:b/>
          <w:sz w:val="22"/>
          <w:szCs w:val="22"/>
        </w:rPr>
        <w:t>hip to A</w:t>
      </w:r>
      <w:r w:rsidRPr="00D142CE">
        <w:rPr>
          <w:b/>
          <w:sz w:val="22"/>
          <w:szCs w:val="22"/>
        </w:rPr>
        <w:t xml:space="preserve">ddress:  </w:t>
      </w:r>
      <w:r w:rsidRPr="00D142CE">
        <w:rPr>
          <w:sz w:val="22"/>
          <w:szCs w:val="22"/>
        </w:rPr>
        <w:t>The Contractor shall deliver all prototypes systems delivered under this contract to the following address:</w:t>
      </w:r>
    </w:p>
    <w:p w14:paraId="0B5F5DFC" w14:textId="77777777" w:rsidR="006545B7" w:rsidRPr="006545B7" w:rsidRDefault="006545B7" w:rsidP="006545B7">
      <w:pPr>
        <w:pStyle w:val="ListParagraph"/>
        <w:rPr>
          <w:sz w:val="22"/>
          <w:szCs w:val="22"/>
        </w:rPr>
      </w:pPr>
    </w:p>
    <w:p w14:paraId="64A54CD6" w14:textId="77777777" w:rsidR="006545B7" w:rsidRDefault="006545B7" w:rsidP="00C80B0E">
      <w:pPr>
        <w:pStyle w:val="ListParagraph"/>
        <w:ind w:left="1080"/>
        <w:jc w:val="both"/>
        <w:rPr>
          <w:sz w:val="22"/>
          <w:szCs w:val="22"/>
        </w:rPr>
      </w:pPr>
      <w:r>
        <w:rPr>
          <w:sz w:val="22"/>
          <w:szCs w:val="22"/>
        </w:rPr>
        <w:t>Naval Surface Warfare Center Crane Division (</w:t>
      </w:r>
      <w:proofErr w:type="spellStart"/>
      <w:r>
        <w:rPr>
          <w:sz w:val="22"/>
          <w:szCs w:val="22"/>
        </w:rPr>
        <w:t>DoDAAC</w:t>
      </w:r>
      <w:proofErr w:type="spellEnd"/>
      <w:r>
        <w:rPr>
          <w:sz w:val="22"/>
          <w:szCs w:val="22"/>
        </w:rPr>
        <w:t>:  N00164)</w:t>
      </w:r>
    </w:p>
    <w:p w14:paraId="34818D3D" w14:textId="77777777" w:rsidR="006545B7" w:rsidRDefault="006545B7" w:rsidP="00C80B0E">
      <w:pPr>
        <w:pStyle w:val="ListParagraph"/>
        <w:ind w:left="1080"/>
        <w:jc w:val="both"/>
        <w:rPr>
          <w:sz w:val="22"/>
          <w:szCs w:val="22"/>
        </w:rPr>
      </w:pPr>
      <w:r>
        <w:rPr>
          <w:sz w:val="22"/>
          <w:szCs w:val="22"/>
        </w:rPr>
        <w:t>Audrey Robinson/</w:t>
      </w:r>
      <w:r w:rsidR="00C80B0E">
        <w:rPr>
          <w:sz w:val="22"/>
          <w:szCs w:val="22"/>
        </w:rPr>
        <w:t>Patsy Fleetwood</w:t>
      </w:r>
    </w:p>
    <w:p w14:paraId="69143712" w14:textId="77777777" w:rsidR="006545B7" w:rsidRDefault="006545B7" w:rsidP="00C80B0E">
      <w:pPr>
        <w:pStyle w:val="ListParagraph"/>
        <w:ind w:left="1080"/>
        <w:jc w:val="both"/>
        <w:rPr>
          <w:sz w:val="22"/>
          <w:szCs w:val="22"/>
        </w:rPr>
      </w:pPr>
      <w:proofErr w:type="spellStart"/>
      <w:r>
        <w:rPr>
          <w:sz w:val="22"/>
          <w:szCs w:val="22"/>
        </w:rPr>
        <w:t>Bldg</w:t>
      </w:r>
      <w:proofErr w:type="spellEnd"/>
      <w:r>
        <w:rPr>
          <w:sz w:val="22"/>
          <w:szCs w:val="22"/>
        </w:rPr>
        <w:t xml:space="preserve"> 3291, Code JXQR</w:t>
      </w:r>
    </w:p>
    <w:p w14:paraId="4791AC8B" w14:textId="77777777" w:rsidR="006545B7" w:rsidRDefault="006545B7" w:rsidP="00C80B0E">
      <w:pPr>
        <w:pStyle w:val="ListParagraph"/>
        <w:ind w:left="1080"/>
        <w:jc w:val="both"/>
        <w:rPr>
          <w:sz w:val="22"/>
          <w:szCs w:val="22"/>
        </w:rPr>
      </w:pPr>
      <w:r>
        <w:rPr>
          <w:sz w:val="22"/>
          <w:szCs w:val="22"/>
        </w:rPr>
        <w:t>300 HWY 361</w:t>
      </w:r>
    </w:p>
    <w:p w14:paraId="3A9525C4" w14:textId="77777777" w:rsidR="006545B7" w:rsidRDefault="006545B7" w:rsidP="00C80B0E">
      <w:pPr>
        <w:pStyle w:val="ListParagraph"/>
        <w:ind w:left="1080"/>
        <w:jc w:val="both"/>
        <w:rPr>
          <w:sz w:val="22"/>
          <w:szCs w:val="22"/>
        </w:rPr>
      </w:pPr>
      <w:r>
        <w:rPr>
          <w:sz w:val="22"/>
          <w:szCs w:val="22"/>
        </w:rPr>
        <w:t>CRANE, IN 47522-5001</w:t>
      </w:r>
    </w:p>
    <w:p w14:paraId="06D69ECF" w14:textId="77777777" w:rsidR="006545B7" w:rsidRDefault="006545B7" w:rsidP="00C80B0E">
      <w:pPr>
        <w:pStyle w:val="ListParagraph"/>
        <w:ind w:left="1080"/>
        <w:jc w:val="both"/>
        <w:rPr>
          <w:sz w:val="22"/>
          <w:szCs w:val="22"/>
        </w:rPr>
      </w:pPr>
      <w:r>
        <w:rPr>
          <w:sz w:val="22"/>
          <w:szCs w:val="22"/>
        </w:rPr>
        <w:t>(812) 854</w:t>
      </w:r>
      <w:r w:rsidR="00FD29F1">
        <w:rPr>
          <w:sz w:val="22"/>
          <w:szCs w:val="22"/>
        </w:rPr>
        <w:t>-4399/(812) 296-2150</w:t>
      </w:r>
    </w:p>
    <w:p w14:paraId="72970D10" w14:textId="77777777" w:rsidR="00FD29F1" w:rsidRDefault="00FD29F1" w:rsidP="006545B7">
      <w:pPr>
        <w:pStyle w:val="ListParagraph"/>
        <w:ind w:left="1080"/>
        <w:rPr>
          <w:sz w:val="22"/>
          <w:szCs w:val="22"/>
        </w:rPr>
      </w:pPr>
    </w:p>
    <w:p w14:paraId="27DD22EA" w14:textId="77777777" w:rsidR="00FD29F1" w:rsidRPr="00FD29F1" w:rsidRDefault="00FD29F1" w:rsidP="00C80B0E">
      <w:pPr>
        <w:pStyle w:val="ListParagraph"/>
        <w:numPr>
          <w:ilvl w:val="1"/>
          <w:numId w:val="1"/>
        </w:numPr>
        <w:jc w:val="both"/>
        <w:rPr>
          <w:b/>
          <w:sz w:val="22"/>
          <w:szCs w:val="22"/>
        </w:rPr>
      </w:pPr>
      <w:r w:rsidRPr="00FD29F1">
        <w:rPr>
          <w:b/>
          <w:sz w:val="22"/>
          <w:szCs w:val="22"/>
        </w:rPr>
        <w:t>Shipping Costs:</w:t>
      </w:r>
      <w:r>
        <w:rPr>
          <w:sz w:val="22"/>
          <w:szCs w:val="22"/>
        </w:rPr>
        <w:t xml:space="preserve">  The Contractor shall pay all the costs to ship all product deliverables to and from the validation testing/demonstration sites and to the final delivery location.</w:t>
      </w:r>
    </w:p>
    <w:p w14:paraId="69912779" w14:textId="77777777" w:rsidR="00FD29F1" w:rsidRPr="00FD29F1" w:rsidRDefault="00FD29F1" w:rsidP="00FD29F1">
      <w:pPr>
        <w:pStyle w:val="ListParagraph"/>
        <w:ind w:left="1080"/>
        <w:rPr>
          <w:b/>
          <w:sz w:val="22"/>
          <w:szCs w:val="22"/>
        </w:rPr>
      </w:pPr>
    </w:p>
    <w:p w14:paraId="00A43D34" w14:textId="77777777" w:rsidR="00FD29F1" w:rsidRPr="00FD29F1" w:rsidRDefault="00BD490E" w:rsidP="00C80B0E">
      <w:pPr>
        <w:pStyle w:val="ListParagraph"/>
        <w:numPr>
          <w:ilvl w:val="0"/>
          <w:numId w:val="1"/>
        </w:numPr>
        <w:jc w:val="both"/>
        <w:rPr>
          <w:b/>
          <w:sz w:val="22"/>
          <w:szCs w:val="22"/>
        </w:rPr>
      </w:pPr>
      <w:r>
        <w:rPr>
          <w:b/>
          <w:sz w:val="22"/>
          <w:szCs w:val="22"/>
        </w:rPr>
        <w:t>Document Deliverables</w:t>
      </w:r>
      <w:r w:rsidR="00FD29F1">
        <w:rPr>
          <w:b/>
          <w:sz w:val="22"/>
          <w:szCs w:val="22"/>
        </w:rPr>
        <w:t>:</w:t>
      </w:r>
      <w:r w:rsidR="00FD29F1">
        <w:rPr>
          <w:sz w:val="22"/>
          <w:szCs w:val="22"/>
        </w:rPr>
        <w:t xml:space="preserve">  The Contractor shall provide the following documents to the respective specified addresses during the Phase II Period of Performance:</w:t>
      </w:r>
    </w:p>
    <w:p w14:paraId="37CCAB1D" w14:textId="77777777" w:rsidR="00FD29F1" w:rsidRDefault="00FD29F1" w:rsidP="00C80B0E">
      <w:pPr>
        <w:jc w:val="both"/>
        <w:rPr>
          <w:sz w:val="22"/>
          <w:szCs w:val="22"/>
        </w:rPr>
      </w:pPr>
    </w:p>
    <w:p w14:paraId="41CD4C5B" w14:textId="77777777" w:rsidR="00375906" w:rsidRPr="00375906" w:rsidRDefault="00375906" w:rsidP="00C80B0E">
      <w:pPr>
        <w:numPr>
          <w:ilvl w:val="0"/>
          <w:numId w:val="5"/>
        </w:numPr>
        <w:jc w:val="both"/>
        <w:rPr>
          <w:sz w:val="22"/>
          <w:szCs w:val="22"/>
        </w:rPr>
      </w:pPr>
      <w:r w:rsidRPr="00375906">
        <w:rPr>
          <w:sz w:val="22"/>
          <w:szCs w:val="22"/>
        </w:rPr>
        <w:t>Kick-Off/System Requirements Review: See CDRL A001.</w:t>
      </w:r>
    </w:p>
    <w:p w14:paraId="7BF715AC" w14:textId="77777777" w:rsidR="00375906" w:rsidRPr="00375906" w:rsidRDefault="00375906" w:rsidP="00C80B0E">
      <w:pPr>
        <w:numPr>
          <w:ilvl w:val="0"/>
          <w:numId w:val="5"/>
        </w:numPr>
        <w:jc w:val="both"/>
        <w:rPr>
          <w:sz w:val="22"/>
          <w:szCs w:val="22"/>
        </w:rPr>
      </w:pPr>
      <w:r w:rsidRPr="00375906">
        <w:rPr>
          <w:sz w:val="22"/>
          <w:szCs w:val="22"/>
        </w:rPr>
        <w:t>Monthly Progress Reports: See CDRL A002.</w:t>
      </w:r>
    </w:p>
    <w:p w14:paraId="510766C9" w14:textId="77777777" w:rsidR="00375906" w:rsidRPr="00375906" w:rsidRDefault="00375906" w:rsidP="00C80B0E">
      <w:pPr>
        <w:numPr>
          <w:ilvl w:val="0"/>
          <w:numId w:val="5"/>
        </w:numPr>
        <w:jc w:val="both"/>
        <w:rPr>
          <w:sz w:val="22"/>
          <w:szCs w:val="22"/>
        </w:rPr>
      </w:pPr>
      <w:r w:rsidRPr="00375906">
        <w:rPr>
          <w:sz w:val="22"/>
          <w:szCs w:val="22"/>
        </w:rPr>
        <w:t>Developmental Test Plan for Performance Validation: See CDRL A003.</w:t>
      </w:r>
    </w:p>
    <w:p w14:paraId="23FF1E3D" w14:textId="77777777" w:rsidR="00375906" w:rsidRPr="00375906" w:rsidRDefault="00375906" w:rsidP="00C80B0E">
      <w:pPr>
        <w:numPr>
          <w:ilvl w:val="0"/>
          <w:numId w:val="5"/>
        </w:numPr>
        <w:jc w:val="both"/>
        <w:rPr>
          <w:sz w:val="22"/>
          <w:szCs w:val="22"/>
        </w:rPr>
      </w:pPr>
      <w:r w:rsidRPr="00375906">
        <w:rPr>
          <w:sz w:val="22"/>
          <w:szCs w:val="22"/>
        </w:rPr>
        <w:t>Developmental Test Report for Performance Validation: See CDRL A004.</w:t>
      </w:r>
    </w:p>
    <w:p w14:paraId="0D37CF3F" w14:textId="77777777" w:rsidR="00375906" w:rsidRPr="00375906" w:rsidRDefault="00375906" w:rsidP="00C80B0E">
      <w:pPr>
        <w:numPr>
          <w:ilvl w:val="0"/>
          <w:numId w:val="5"/>
        </w:numPr>
        <w:jc w:val="both"/>
        <w:rPr>
          <w:sz w:val="22"/>
          <w:szCs w:val="22"/>
        </w:rPr>
      </w:pPr>
      <w:r w:rsidRPr="00375906">
        <w:rPr>
          <w:sz w:val="22"/>
          <w:szCs w:val="22"/>
        </w:rPr>
        <w:t>Business Plans: See CDRL A005.</w:t>
      </w:r>
    </w:p>
    <w:p w14:paraId="3116697F" w14:textId="77777777" w:rsidR="00375906" w:rsidRPr="00375906" w:rsidRDefault="00375906" w:rsidP="00C80B0E">
      <w:pPr>
        <w:numPr>
          <w:ilvl w:val="0"/>
          <w:numId w:val="5"/>
        </w:numPr>
        <w:jc w:val="both"/>
        <w:rPr>
          <w:sz w:val="22"/>
          <w:szCs w:val="22"/>
        </w:rPr>
      </w:pPr>
      <w:r w:rsidRPr="00375906">
        <w:rPr>
          <w:sz w:val="22"/>
          <w:szCs w:val="22"/>
        </w:rPr>
        <w:t>Final Technical Report: See CDRL A006.</w:t>
      </w:r>
    </w:p>
    <w:p w14:paraId="43D9FD29" w14:textId="77777777" w:rsidR="00375906" w:rsidRPr="00375906" w:rsidRDefault="00375906" w:rsidP="00C80B0E">
      <w:pPr>
        <w:numPr>
          <w:ilvl w:val="0"/>
          <w:numId w:val="5"/>
        </w:numPr>
        <w:jc w:val="both"/>
        <w:rPr>
          <w:sz w:val="22"/>
          <w:szCs w:val="22"/>
        </w:rPr>
      </w:pPr>
      <w:r w:rsidRPr="00375906">
        <w:rPr>
          <w:sz w:val="22"/>
          <w:szCs w:val="22"/>
        </w:rPr>
        <w:t>Preliminary Design Review – Design Review Information Package: See CDRL A007.</w:t>
      </w:r>
    </w:p>
    <w:p w14:paraId="1CD1E770" w14:textId="77777777" w:rsidR="00375906" w:rsidRPr="00375906" w:rsidRDefault="00375906" w:rsidP="00C80B0E">
      <w:pPr>
        <w:numPr>
          <w:ilvl w:val="0"/>
          <w:numId w:val="5"/>
        </w:numPr>
        <w:jc w:val="both"/>
        <w:rPr>
          <w:sz w:val="22"/>
          <w:szCs w:val="22"/>
        </w:rPr>
      </w:pPr>
      <w:r w:rsidRPr="00375906">
        <w:rPr>
          <w:sz w:val="22"/>
          <w:szCs w:val="22"/>
        </w:rPr>
        <w:t>Critical Design Review - Design Review Information Package: See CDRL A008.</w:t>
      </w:r>
    </w:p>
    <w:p w14:paraId="26146176" w14:textId="77777777" w:rsidR="00FD29F1" w:rsidRDefault="00FD29F1" w:rsidP="00C80B0E">
      <w:pPr>
        <w:jc w:val="both"/>
        <w:rPr>
          <w:b/>
          <w:sz w:val="22"/>
          <w:szCs w:val="22"/>
        </w:rPr>
      </w:pPr>
    </w:p>
    <w:p w14:paraId="76EBC5B4" w14:textId="77777777" w:rsidR="00FD29F1" w:rsidRDefault="00FD29F1" w:rsidP="00C80B0E">
      <w:pPr>
        <w:jc w:val="both"/>
        <w:rPr>
          <w:sz w:val="22"/>
          <w:szCs w:val="22"/>
        </w:rPr>
      </w:pPr>
      <w:r>
        <w:rPr>
          <w:b/>
          <w:sz w:val="22"/>
          <w:szCs w:val="22"/>
        </w:rPr>
        <w:t>V.  TESTS AND DEMONSTRATIONS:</w:t>
      </w:r>
      <w:r>
        <w:rPr>
          <w:sz w:val="22"/>
          <w:szCs w:val="22"/>
        </w:rPr>
        <w:t xml:space="preserve">  The Contractor shall conduct tests and demonstrations to validate that the </w:t>
      </w:r>
      <w:r w:rsidR="00D95E14">
        <w:rPr>
          <w:sz w:val="22"/>
          <w:szCs w:val="22"/>
        </w:rPr>
        <w:t>MARL</w:t>
      </w:r>
      <w:r>
        <w:rPr>
          <w:sz w:val="22"/>
          <w:szCs w:val="22"/>
        </w:rPr>
        <w:t xml:space="preserve"> meets or exceeds all the requirements specified in this Statement of Objectives. </w:t>
      </w:r>
      <w:r w:rsidRPr="003B26C8">
        <w:rPr>
          <w:sz w:val="22"/>
          <w:szCs w:val="22"/>
        </w:rPr>
        <w:t xml:space="preserve"> </w:t>
      </w:r>
      <w:r>
        <w:rPr>
          <w:sz w:val="22"/>
          <w:szCs w:val="22"/>
        </w:rPr>
        <w:t>(See CDRL A00</w:t>
      </w:r>
      <w:r w:rsidR="00FB5D52">
        <w:rPr>
          <w:sz w:val="22"/>
          <w:szCs w:val="22"/>
        </w:rPr>
        <w:t>3</w:t>
      </w:r>
      <w:r>
        <w:rPr>
          <w:sz w:val="22"/>
          <w:szCs w:val="22"/>
        </w:rPr>
        <w:t xml:space="preserve"> and CDRL A00</w:t>
      </w:r>
      <w:r w:rsidR="00FB5D52">
        <w:rPr>
          <w:sz w:val="22"/>
          <w:szCs w:val="22"/>
        </w:rPr>
        <w:t>4</w:t>
      </w:r>
      <w:r>
        <w:rPr>
          <w:sz w:val="22"/>
          <w:szCs w:val="22"/>
        </w:rPr>
        <w:t>)</w:t>
      </w:r>
      <w:r w:rsidRPr="003B26C8">
        <w:rPr>
          <w:sz w:val="22"/>
          <w:szCs w:val="22"/>
        </w:rPr>
        <w:t xml:space="preserve">.  </w:t>
      </w:r>
    </w:p>
    <w:p w14:paraId="4E0C826D" w14:textId="77777777" w:rsidR="00FD29F1" w:rsidRDefault="00FD29F1" w:rsidP="00C80B0E">
      <w:pPr>
        <w:pStyle w:val="ListParagraph"/>
        <w:jc w:val="both"/>
        <w:rPr>
          <w:sz w:val="22"/>
          <w:szCs w:val="22"/>
        </w:rPr>
      </w:pPr>
    </w:p>
    <w:p w14:paraId="50F46923" w14:textId="77777777" w:rsidR="00FD29F1" w:rsidRPr="00FD29F1" w:rsidRDefault="00FD29F1" w:rsidP="00C80B0E">
      <w:pPr>
        <w:pStyle w:val="ListParagraph"/>
        <w:numPr>
          <w:ilvl w:val="0"/>
          <w:numId w:val="4"/>
        </w:numPr>
        <w:jc w:val="both"/>
        <w:rPr>
          <w:sz w:val="22"/>
          <w:szCs w:val="22"/>
        </w:rPr>
      </w:pPr>
      <w:r w:rsidRPr="00FD29F1">
        <w:rPr>
          <w:sz w:val="22"/>
          <w:szCs w:val="22"/>
        </w:rPr>
        <w:t xml:space="preserve">The Contractor shall demonstrate that the </w:t>
      </w:r>
      <w:r w:rsidR="00D95E14">
        <w:rPr>
          <w:sz w:val="22"/>
          <w:szCs w:val="22"/>
        </w:rPr>
        <w:t>MARL</w:t>
      </w:r>
      <w:r w:rsidRPr="00FD29F1">
        <w:rPr>
          <w:sz w:val="22"/>
          <w:szCs w:val="22"/>
        </w:rPr>
        <w:t xml:space="preserve"> meets or exceeds the performance of </w:t>
      </w:r>
      <w:r w:rsidRPr="00D95E14">
        <w:rPr>
          <w:sz w:val="22"/>
          <w:szCs w:val="22"/>
        </w:rPr>
        <w:t>the detailed requirements above</w:t>
      </w:r>
      <w:r w:rsidR="00FB5D52" w:rsidRPr="00D95E14">
        <w:rPr>
          <w:sz w:val="22"/>
          <w:szCs w:val="22"/>
        </w:rPr>
        <w:t xml:space="preserve">.   (See CDRL </w:t>
      </w:r>
      <w:r w:rsidR="00FB5D52">
        <w:rPr>
          <w:sz w:val="22"/>
          <w:szCs w:val="22"/>
        </w:rPr>
        <w:t>A003</w:t>
      </w:r>
      <w:r w:rsidRPr="00FD29F1">
        <w:rPr>
          <w:sz w:val="22"/>
          <w:szCs w:val="22"/>
        </w:rPr>
        <w:t xml:space="preserve"> and CDRL A00</w:t>
      </w:r>
      <w:r w:rsidR="00FB5D52">
        <w:rPr>
          <w:sz w:val="22"/>
          <w:szCs w:val="22"/>
        </w:rPr>
        <w:t>4</w:t>
      </w:r>
      <w:r w:rsidRPr="00FD29F1">
        <w:rPr>
          <w:sz w:val="22"/>
          <w:szCs w:val="22"/>
        </w:rPr>
        <w:t>).</w:t>
      </w:r>
    </w:p>
    <w:p w14:paraId="4B723FE0" w14:textId="77777777" w:rsidR="00375906" w:rsidRDefault="00375906" w:rsidP="00375906">
      <w:pPr>
        <w:jc w:val="both"/>
        <w:rPr>
          <w:sz w:val="22"/>
          <w:szCs w:val="22"/>
        </w:rPr>
      </w:pPr>
    </w:p>
    <w:p w14:paraId="79095E3F" w14:textId="77777777" w:rsidR="00375906" w:rsidRPr="00D95E14" w:rsidRDefault="00375906" w:rsidP="00BD490E">
      <w:pPr>
        <w:jc w:val="both"/>
        <w:rPr>
          <w:sz w:val="22"/>
          <w:szCs w:val="22"/>
        </w:rPr>
      </w:pPr>
      <w:r w:rsidRPr="00344777">
        <w:rPr>
          <w:b/>
          <w:sz w:val="22"/>
          <w:szCs w:val="22"/>
        </w:rPr>
        <w:t>VI.</w:t>
      </w:r>
      <w:r w:rsidRPr="00D95E14">
        <w:rPr>
          <w:sz w:val="22"/>
          <w:szCs w:val="22"/>
        </w:rPr>
        <w:t xml:space="preserve">  </w:t>
      </w:r>
      <w:r w:rsidRPr="00D95E14">
        <w:rPr>
          <w:b/>
          <w:sz w:val="22"/>
          <w:szCs w:val="22"/>
        </w:rPr>
        <w:t>ENVIRONMENTAL AND SAFETY:</w:t>
      </w:r>
      <w:r w:rsidRPr="00D95E14">
        <w:rPr>
          <w:sz w:val="22"/>
          <w:szCs w:val="22"/>
        </w:rPr>
        <w:t xml:space="preserve">  </w:t>
      </w:r>
      <w:r w:rsidR="00BD490E" w:rsidRPr="00D95E14">
        <w:rPr>
          <w:sz w:val="22"/>
          <w:szCs w:val="22"/>
        </w:rPr>
        <w:t>N/A.</w:t>
      </w:r>
    </w:p>
    <w:p w14:paraId="777189F9" w14:textId="77777777" w:rsidR="00375906" w:rsidRPr="00D95E14" w:rsidRDefault="00375906" w:rsidP="00375906">
      <w:pPr>
        <w:rPr>
          <w:sz w:val="22"/>
          <w:szCs w:val="22"/>
        </w:rPr>
      </w:pPr>
    </w:p>
    <w:p w14:paraId="59C715A8" w14:textId="77777777" w:rsidR="00375906" w:rsidRPr="00D95E14" w:rsidRDefault="00375906" w:rsidP="00375906">
      <w:pPr>
        <w:jc w:val="both"/>
        <w:rPr>
          <w:sz w:val="22"/>
          <w:szCs w:val="22"/>
        </w:rPr>
      </w:pPr>
      <w:r w:rsidRPr="00344777">
        <w:rPr>
          <w:b/>
          <w:sz w:val="22"/>
          <w:szCs w:val="22"/>
        </w:rPr>
        <w:t>VII.</w:t>
      </w:r>
      <w:r w:rsidRPr="00D95E14">
        <w:rPr>
          <w:b/>
          <w:sz w:val="22"/>
          <w:szCs w:val="22"/>
        </w:rPr>
        <w:t xml:space="preserve"> GOVERNMENT FURNISHED PROPERTY (GFP)/GOVERNMENT FURNISHED PROPERTY (GFE)</w:t>
      </w:r>
      <w:r w:rsidR="00BD490E" w:rsidRPr="00D95E14">
        <w:rPr>
          <w:b/>
          <w:sz w:val="22"/>
          <w:szCs w:val="22"/>
        </w:rPr>
        <w:t>/</w:t>
      </w:r>
      <w:r w:rsidRPr="00D95E14">
        <w:rPr>
          <w:b/>
          <w:sz w:val="22"/>
          <w:szCs w:val="22"/>
        </w:rPr>
        <w:t xml:space="preserve">GOVERNMENT FURNISHED INFORMATION (GFI):  </w:t>
      </w:r>
      <w:r w:rsidRPr="00D95E14">
        <w:rPr>
          <w:sz w:val="22"/>
          <w:szCs w:val="22"/>
        </w:rPr>
        <w:t xml:space="preserve">The Government does not intend to provide the Contractor any GFP, GFE or GFI.  However, the Contractor shall specify by stock number and nomenclature any GFP/GFE/GFI the Contractor believes is needed to successfully complete the requirements specified </w:t>
      </w:r>
      <w:r w:rsidR="00BD490E" w:rsidRPr="00D95E14">
        <w:rPr>
          <w:sz w:val="22"/>
          <w:szCs w:val="22"/>
        </w:rPr>
        <w:t>in this Statement of Objectives</w:t>
      </w:r>
      <w:r w:rsidRPr="00D95E14">
        <w:rPr>
          <w:sz w:val="22"/>
          <w:szCs w:val="22"/>
        </w:rPr>
        <w:t xml:space="preserve">. </w:t>
      </w:r>
    </w:p>
    <w:p w14:paraId="4596C624" w14:textId="77777777" w:rsidR="00375906" w:rsidRDefault="00375906" w:rsidP="00375906">
      <w:pPr>
        <w:jc w:val="both"/>
        <w:rPr>
          <w:color w:val="FF0000"/>
          <w:sz w:val="22"/>
          <w:szCs w:val="22"/>
        </w:rPr>
      </w:pPr>
    </w:p>
    <w:p w14:paraId="443C3370" w14:textId="77777777" w:rsidR="00375906" w:rsidRDefault="00375906" w:rsidP="00375906">
      <w:pPr>
        <w:jc w:val="both"/>
        <w:rPr>
          <w:color w:val="FF0000"/>
          <w:sz w:val="22"/>
          <w:szCs w:val="22"/>
        </w:rPr>
      </w:pPr>
      <w:r w:rsidRPr="00344777">
        <w:rPr>
          <w:b/>
          <w:sz w:val="22"/>
          <w:szCs w:val="22"/>
        </w:rPr>
        <w:t>VIII.</w:t>
      </w:r>
      <w:r>
        <w:rPr>
          <w:sz w:val="22"/>
          <w:szCs w:val="22"/>
        </w:rPr>
        <w:t xml:space="preserve"> </w:t>
      </w:r>
      <w:r w:rsidRPr="00B24A63">
        <w:rPr>
          <w:b/>
          <w:caps/>
          <w:sz w:val="22"/>
          <w:szCs w:val="22"/>
        </w:rPr>
        <w:t>Period of Performance</w:t>
      </w:r>
      <w:r w:rsidRPr="00B24A63">
        <w:rPr>
          <w:b/>
          <w:sz w:val="22"/>
          <w:szCs w:val="22"/>
        </w:rPr>
        <w:t xml:space="preserve">: </w:t>
      </w:r>
      <w:r>
        <w:rPr>
          <w:b/>
          <w:sz w:val="22"/>
          <w:szCs w:val="22"/>
        </w:rPr>
        <w:t xml:space="preserve"> </w:t>
      </w:r>
      <w:r w:rsidRPr="00B24A63">
        <w:rPr>
          <w:sz w:val="22"/>
          <w:szCs w:val="22"/>
        </w:rPr>
        <w:t xml:space="preserve">The </w:t>
      </w:r>
      <w:r>
        <w:rPr>
          <w:sz w:val="22"/>
          <w:szCs w:val="22"/>
        </w:rPr>
        <w:t xml:space="preserve">maximum </w:t>
      </w:r>
      <w:r w:rsidRPr="00B24A63">
        <w:rPr>
          <w:sz w:val="22"/>
          <w:szCs w:val="22"/>
        </w:rPr>
        <w:t>Period of Performance for th</w:t>
      </w:r>
      <w:r>
        <w:rPr>
          <w:sz w:val="22"/>
          <w:szCs w:val="22"/>
        </w:rPr>
        <w:t>is</w:t>
      </w:r>
      <w:r w:rsidRPr="00B24A63">
        <w:rPr>
          <w:sz w:val="22"/>
          <w:szCs w:val="22"/>
        </w:rPr>
        <w:t xml:space="preserve"> Phase II effort is </w:t>
      </w:r>
      <w:r w:rsidR="00C80B0E">
        <w:rPr>
          <w:sz w:val="22"/>
          <w:szCs w:val="22"/>
        </w:rPr>
        <w:t xml:space="preserve">twelve </w:t>
      </w:r>
      <w:r w:rsidR="00C80B0E" w:rsidRPr="00D95E14">
        <w:rPr>
          <w:sz w:val="22"/>
          <w:szCs w:val="22"/>
        </w:rPr>
        <w:t>(12</w:t>
      </w:r>
      <w:r w:rsidRPr="00D95E14">
        <w:rPr>
          <w:sz w:val="22"/>
          <w:szCs w:val="22"/>
        </w:rPr>
        <w:t>) months.</w:t>
      </w:r>
      <w:r>
        <w:rPr>
          <w:sz w:val="22"/>
          <w:szCs w:val="22"/>
        </w:rPr>
        <w:t xml:space="preserve">  The Contractor can propose a lessor Period of Performance if a lessor Period of Performance does not jeopardize the Contractor’s successful completion of the requirements specified in this Statement of Objectives.</w:t>
      </w:r>
      <w:r w:rsidRPr="00D95E14">
        <w:rPr>
          <w:sz w:val="22"/>
          <w:szCs w:val="22"/>
        </w:rPr>
        <w:t xml:space="preserve"> </w:t>
      </w:r>
    </w:p>
    <w:p w14:paraId="548E19CA" w14:textId="77777777" w:rsidR="00375906" w:rsidRDefault="00375906" w:rsidP="00375906">
      <w:pPr>
        <w:jc w:val="both"/>
        <w:rPr>
          <w:sz w:val="22"/>
          <w:szCs w:val="22"/>
        </w:rPr>
      </w:pPr>
    </w:p>
    <w:p w14:paraId="6A804CDF" w14:textId="77777777" w:rsidR="00375906" w:rsidRPr="00B24A63" w:rsidRDefault="00375906" w:rsidP="00375906">
      <w:pPr>
        <w:jc w:val="both"/>
        <w:rPr>
          <w:sz w:val="22"/>
          <w:szCs w:val="22"/>
        </w:rPr>
      </w:pPr>
      <w:r w:rsidRPr="00344777">
        <w:rPr>
          <w:b/>
          <w:sz w:val="22"/>
          <w:szCs w:val="22"/>
        </w:rPr>
        <w:t>IX.</w:t>
      </w:r>
      <w:r>
        <w:rPr>
          <w:b/>
          <w:sz w:val="22"/>
          <w:szCs w:val="22"/>
        </w:rPr>
        <w:t xml:space="preserve"> </w:t>
      </w:r>
      <w:r w:rsidRPr="00B24A63">
        <w:rPr>
          <w:b/>
          <w:sz w:val="22"/>
          <w:szCs w:val="22"/>
        </w:rPr>
        <w:t>MEETINGS AND REVIEWS</w:t>
      </w:r>
      <w:r w:rsidRPr="00B24A63">
        <w:rPr>
          <w:sz w:val="22"/>
          <w:szCs w:val="22"/>
        </w:rPr>
        <w:t xml:space="preserve">: </w:t>
      </w:r>
      <w:r>
        <w:rPr>
          <w:sz w:val="22"/>
          <w:szCs w:val="22"/>
        </w:rPr>
        <w:t xml:space="preserve"> </w:t>
      </w:r>
      <w:r w:rsidRPr="00B24A63">
        <w:rPr>
          <w:sz w:val="22"/>
          <w:szCs w:val="22"/>
        </w:rPr>
        <w:t>The Contractor shall attend the following meetings and reviews.</w:t>
      </w:r>
    </w:p>
    <w:p w14:paraId="5711F5D4" w14:textId="77777777" w:rsidR="00375906" w:rsidRPr="00B24A63" w:rsidRDefault="00375906" w:rsidP="00375906">
      <w:pPr>
        <w:jc w:val="both"/>
        <w:rPr>
          <w:sz w:val="22"/>
          <w:szCs w:val="22"/>
        </w:rPr>
      </w:pPr>
    </w:p>
    <w:p w14:paraId="6710B8A7" w14:textId="7462096C" w:rsidR="00375906" w:rsidRPr="004D50E1" w:rsidRDefault="00375906" w:rsidP="00375906">
      <w:pPr>
        <w:ind w:left="360"/>
        <w:jc w:val="both"/>
        <w:rPr>
          <w:sz w:val="22"/>
          <w:szCs w:val="22"/>
        </w:rPr>
      </w:pPr>
      <w:r>
        <w:rPr>
          <w:sz w:val="22"/>
          <w:szCs w:val="22"/>
        </w:rPr>
        <w:t xml:space="preserve">A.  </w:t>
      </w:r>
      <w:r w:rsidRPr="004D50E1">
        <w:rPr>
          <w:sz w:val="22"/>
          <w:szCs w:val="22"/>
        </w:rPr>
        <w:t>Phase II Kick-Off meetin</w:t>
      </w:r>
      <w:r w:rsidRPr="00A3698D">
        <w:rPr>
          <w:sz w:val="22"/>
          <w:szCs w:val="22"/>
        </w:rPr>
        <w:t xml:space="preserve">g shall be conducted </w:t>
      </w:r>
      <w:r w:rsidR="00D84A01">
        <w:rPr>
          <w:sz w:val="22"/>
          <w:szCs w:val="22"/>
        </w:rPr>
        <w:t xml:space="preserve">either </w:t>
      </w:r>
      <w:r w:rsidR="00A3698D" w:rsidRPr="00A3698D">
        <w:rPr>
          <w:sz w:val="22"/>
          <w:szCs w:val="22"/>
        </w:rPr>
        <w:t>in</w:t>
      </w:r>
      <w:r w:rsidR="00A3698D">
        <w:rPr>
          <w:sz w:val="22"/>
          <w:szCs w:val="22"/>
        </w:rPr>
        <w:t xml:space="preserve"> Tampa, Florida </w:t>
      </w:r>
      <w:r w:rsidR="00D84A01">
        <w:rPr>
          <w:sz w:val="22"/>
          <w:szCs w:val="22"/>
        </w:rPr>
        <w:t xml:space="preserve">or virtually </w:t>
      </w:r>
      <w:r w:rsidRPr="004D50E1">
        <w:rPr>
          <w:sz w:val="22"/>
          <w:szCs w:val="22"/>
        </w:rPr>
        <w:t>not later than thirty (30) calendar days after contract award.  The Contractor shall provide the Government:</w:t>
      </w:r>
    </w:p>
    <w:p w14:paraId="0788DB6D" w14:textId="77777777" w:rsidR="00375906" w:rsidRPr="00E737CD" w:rsidRDefault="00375906" w:rsidP="00375906">
      <w:pPr>
        <w:ind w:left="360"/>
        <w:rPr>
          <w:sz w:val="22"/>
          <w:szCs w:val="22"/>
        </w:rPr>
      </w:pPr>
      <w:r w:rsidRPr="00E737CD">
        <w:rPr>
          <w:sz w:val="22"/>
          <w:szCs w:val="22"/>
        </w:rPr>
        <w:lastRenderedPageBreak/>
        <w:t xml:space="preserve"> </w:t>
      </w:r>
    </w:p>
    <w:p w14:paraId="2856A8A2" w14:textId="77777777" w:rsidR="00375906" w:rsidRPr="00D95E14" w:rsidRDefault="00375906" w:rsidP="00BD490E">
      <w:pPr>
        <w:ind w:left="990" w:hanging="270"/>
        <w:jc w:val="both"/>
        <w:rPr>
          <w:sz w:val="22"/>
          <w:szCs w:val="22"/>
        </w:rPr>
      </w:pPr>
      <w:r w:rsidRPr="00D95E14">
        <w:rPr>
          <w:sz w:val="22"/>
          <w:szCs w:val="22"/>
        </w:rPr>
        <w:t xml:space="preserve">1.  A Phase II Kick-Off Meeting Read-Ahead no less than seven (7) calendar days prior to the Phase II Kick-Off Meeting / System Requirements Review Meeting (See CDRL A001). </w:t>
      </w:r>
    </w:p>
    <w:p w14:paraId="1F9025FF" w14:textId="77777777" w:rsidR="00375906" w:rsidRPr="00D95E14" w:rsidRDefault="00375906" w:rsidP="00BD490E">
      <w:pPr>
        <w:pStyle w:val="ListParagraph"/>
        <w:ind w:left="990" w:hanging="270"/>
        <w:jc w:val="both"/>
        <w:rPr>
          <w:sz w:val="22"/>
          <w:szCs w:val="22"/>
        </w:rPr>
      </w:pPr>
    </w:p>
    <w:p w14:paraId="780E64A0" w14:textId="51CF859C" w:rsidR="00375906" w:rsidRPr="00D95E14" w:rsidRDefault="00BD490E" w:rsidP="00BD490E">
      <w:pPr>
        <w:ind w:left="990" w:hanging="270"/>
        <w:jc w:val="both"/>
        <w:rPr>
          <w:sz w:val="22"/>
          <w:szCs w:val="22"/>
        </w:rPr>
      </w:pPr>
      <w:r w:rsidRPr="00D95E14">
        <w:rPr>
          <w:sz w:val="22"/>
          <w:szCs w:val="22"/>
        </w:rPr>
        <w:t xml:space="preserve">2. </w:t>
      </w:r>
      <w:r w:rsidR="00375906" w:rsidRPr="00D95E14">
        <w:rPr>
          <w:sz w:val="22"/>
          <w:szCs w:val="22"/>
        </w:rPr>
        <w:t xml:space="preserve">An initial Program Management Plan for accomplishing all objectives specified in this Statement of Objectives.  (See CDRLs A002).  </w:t>
      </w:r>
    </w:p>
    <w:p w14:paraId="5B3748C8" w14:textId="77777777" w:rsidR="00375906" w:rsidRPr="00D95E14" w:rsidRDefault="00375906" w:rsidP="00BD490E">
      <w:pPr>
        <w:ind w:left="990" w:hanging="270"/>
        <w:jc w:val="both"/>
        <w:rPr>
          <w:sz w:val="22"/>
          <w:szCs w:val="22"/>
        </w:rPr>
      </w:pPr>
    </w:p>
    <w:p w14:paraId="72F007D4" w14:textId="77777777" w:rsidR="00375906" w:rsidRPr="00D95E14" w:rsidRDefault="00375906" w:rsidP="00BD490E">
      <w:pPr>
        <w:ind w:left="990" w:hanging="270"/>
        <w:jc w:val="both"/>
        <w:rPr>
          <w:sz w:val="22"/>
          <w:szCs w:val="22"/>
        </w:rPr>
      </w:pPr>
      <w:r w:rsidRPr="00D95E14">
        <w:rPr>
          <w:sz w:val="22"/>
          <w:szCs w:val="22"/>
        </w:rPr>
        <w:t>3.  Conceptual Design Drawings no less than ten (10) calendar days prior to the Phase II Kick-Off/System Requirements Review Meeting (See CDRL A001).</w:t>
      </w:r>
    </w:p>
    <w:p w14:paraId="7D6954C9" w14:textId="77777777" w:rsidR="00375906" w:rsidRPr="00B24A63" w:rsidRDefault="00375906" w:rsidP="00375906">
      <w:pPr>
        <w:rPr>
          <w:sz w:val="22"/>
          <w:szCs w:val="22"/>
        </w:rPr>
      </w:pPr>
    </w:p>
    <w:p w14:paraId="4CE69E20" w14:textId="77777777" w:rsidR="00375906" w:rsidRPr="004D50E1" w:rsidRDefault="00375906" w:rsidP="00375906">
      <w:pPr>
        <w:ind w:left="360"/>
        <w:jc w:val="both"/>
        <w:rPr>
          <w:sz w:val="22"/>
          <w:szCs w:val="22"/>
        </w:rPr>
      </w:pPr>
      <w:r>
        <w:rPr>
          <w:sz w:val="22"/>
          <w:szCs w:val="22"/>
        </w:rPr>
        <w:t xml:space="preserve">B.  </w:t>
      </w:r>
      <w:r w:rsidRPr="004D50E1">
        <w:rPr>
          <w:sz w:val="22"/>
          <w:szCs w:val="22"/>
        </w:rPr>
        <w:t xml:space="preserve">Preliminary Design Review (PDR) - This meeting shall be conducted </w:t>
      </w:r>
      <w:r>
        <w:rPr>
          <w:sz w:val="22"/>
          <w:szCs w:val="22"/>
        </w:rPr>
        <w:t xml:space="preserve">at the Contractor’s facility </w:t>
      </w:r>
      <w:r w:rsidRPr="004D50E1">
        <w:rPr>
          <w:sz w:val="22"/>
          <w:szCs w:val="22"/>
        </w:rPr>
        <w:t xml:space="preserve">no more </w:t>
      </w:r>
      <w:r w:rsidRPr="00D95E14">
        <w:rPr>
          <w:sz w:val="22"/>
          <w:szCs w:val="22"/>
        </w:rPr>
        <w:t xml:space="preserve">than </w:t>
      </w:r>
      <w:r w:rsidR="00D95E14" w:rsidRPr="00D95E14">
        <w:rPr>
          <w:sz w:val="22"/>
          <w:szCs w:val="22"/>
        </w:rPr>
        <w:t>ninety</w:t>
      </w:r>
      <w:r w:rsidRPr="00D95E14">
        <w:rPr>
          <w:sz w:val="22"/>
          <w:szCs w:val="22"/>
        </w:rPr>
        <w:t xml:space="preserve"> (</w:t>
      </w:r>
      <w:r w:rsidR="00D95E14" w:rsidRPr="00D95E14">
        <w:rPr>
          <w:sz w:val="22"/>
          <w:szCs w:val="22"/>
        </w:rPr>
        <w:t>90</w:t>
      </w:r>
      <w:r w:rsidRPr="00D95E14">
        <w:rPr>
          <w:sz w:val="22"/>
          <w:szCs w:val="22"/>
        </w:rPr>
        <w:t xml:space="preserve">) calendar </w:t>
      </w:r>
      <w:r w:rsidRPr="004D50E1">
        <w:rPr>
          <w:sz w:val="22"/>
          <w:szCs w:val="22"/>
        </w:rPr>
        <w:t xml:space="preserve">days after Phase II contract award.  </w:t>
      </w:r>
      <w:r>
        <w:rPr>
          <w:sz w:val="22"/>
          <w:szCs w:val="22"/>
        </w:rPr>
        <w:t xml:space="preserve">The Contractor shall provide teleconference capability for those participants unable to travel.  </w:t>
      </w:r>
      <w:r w:rsidRPr="004D50E1">
        <w:rPr>
          <w:sz w:val="22"/>
          <w:szCs w:val="22"/>
        </w:rPr>
        <w:t xml:space="preserve">The Contractor shall provide the Government: </w:t>
      </w:r>
    </w:p>
    <w:p w14:paraId="464D1C3F" w14:textId="77777777" w:rsidR="00375906" w:rsidRPr="00B24A63" w:rsidRDefault="00375906" w:rsidP="00375906">
      <w:pPr>
        <w:pStyle w:val="ListParagraph"/>
        <w:rPr>
          <w:sz w:val="22"/>
          <w:szCs w:val="22"/>
        </w:rPr>
      </w:pPr>
    </w:p>
    <w:p w14:paraId="174188F0" w14:textId="77777777" w:rsidR="00375906" w:rsidRPr="00D95E14" w:rsidRDefault="00375906" w:rsidP="00BD490E">
      <w:pPr>
        <w:ind w:left="990" w:hanging="270"/>
        <w:jc w:val="both"/>
        <w:rPr>
          <w:sz w:val="22"/>
          <w:szCs w:val="22"/>
        </w:rPr>
      </w:pPr>
      <w:r w:rsidRPr="00D95E14">
        <w:rPr>
          <w:sz w:val="22"/>
          <w:szCs w:val="22"/>
        </w:rPr>
        <w:t xml:space="preserve">1. </w:t>
      </w:r>
      <w:r w:rsidR="00C25942" w:rsidRPr="00D95E14">
        <w:rPr>
          <w:sz w:val="22"/>
          <w:szCs w:val="22"/>
        </w:rPr>
        <w:t xml:space="preserve"> </w:t>
      </w:r>
      <w:r w:rsidRPr="00D95E14">
        <w:rPr>
          <w:sz w:val="22"/>
          <w:szCs w:val="22"/>
        </w:rPr>
        <w:t>A Preliminary Design Review and Materials Read-Ahead Briefing no less than ten (10) calendar days prior to the PDR (See CDRL A007).</w:t>
      </w:r>
    </w:p>
    <w:p w14:paraId="482F0FD1" w14:textId="77777777" w:rsidR="00375906" w:rsidRPr="00D95E14" w:rsidRDefault="00375906" w:rsidP="00BD490E">
      <w:pPr>
        <w:ind w:left="990" w:hanging="270"/>
        <w:jc w:val="both"/>
        <w:rPr>
          <w:sz w:val="22"/>
          <w:szCs w:val="22"/>
        </w:rPr>
      </w:pPr>
    </w:p>
    <w:p w14:paraId="507E9A58" w14:textId="034B1AAC" w:rsidR="00375906" w:rsidRPr="00D95E14" w:rsidRDefault="00375906" w:rsidP="00BD490E">
      <w:pPr>
        <w:ind w:left="990" w:hanging="270"/>
        <w:jc w:val="both"/>
        <w:rPr>
          <w:sz w:val="22"/>
          <w:szCs w:val="22"/>
        </w:rPr>
      </w:pPr>
      <w:r w:rsidRPr="00D95E14">
        <w:rPr>
          <w:sz w:val="22"/>
          <w:szCs w:val="22"/>
        </w:rPr>
        <w:t>2.  A Detailed Design Report (See CDRL A00</w:t>
      </w:r>
      <w:r w:rsidR="0009191C">
        <w:rPr>
          <w:sz w:val="22"/>
          <w:szCs w:val="22"/>
        </w:rPr>
        <w:t>7</w:t>
      </w:r>
      <w:r w:rsidRPr="00D95E14">
        <w:rPr>
          <w:sz w:val="22"/>
          <w:szCs w:val="22"/>
        </w:rPr>
        <w:t xml:space="preserve">). </w:t>
      </w:r>
    </w:p>
    <w:p w14:paraId="23F3FE82" w14:textId="77777777" w:rsidR="00375906" w:rsidRPr="00D95E14" w:rsidRDefault="00375906" w:rsidP="00BD490E">
      <w:pPr>
        <w:ind w:left="990" w:hanging="270"/>
        <w:jc w:val="both"/>
        <w:rPr>
          <w:sz w:val="22"/>
          <w:szCs w:val="22"/>
        </w:rPr>
      </w:pPr>
    </w:p>
    <w:p w14:paraId="62778137" w14:textId="1C1FEFFC" w:rsidR="00375906" w:rsidRPr="00D95E14" w:rsidRDefault="00375906" w:rsidP="00BD490E">
      <w:pPr>
        <w:ind w:left="990" w:hanging="270"/>
        <w:jc w:val="both"/>
        <w:rPr>
          <w:sz w:val="22"/>
          <w:szCs w:val="22"/>
        </w:rPr>
      </w:pPr>
      <w:r w:rsidRPr="00D95E14">
        <w:rPr>
          <w:sz w:val="22"/>
          <w:szCs w:val="22"/>
        </w:rPr>
        <w:t>3.  Trade off considerations for the design.  (See CDRL A00</w:t>
      </w:r>
      <w:r w:rsidR="0009191C">
        <w:rPr>
          <w:sz w:val="22"/>
          <w:szCs w:val="22"/>
        </w:rPr>
        <w:t>7</w:t>
      </w:r>
      <w:r w:rsidRPr="00D95E14">
        <w:rPr>
          <w:sz w:val="22"/>
          <w:szCs w:val="22"/>
        </w:rPr>
        <w:t>).</w:t>
      </w:r>
    </w:p>
    <w:p w14:paraId="1DA4F978" w14:textId="77777777" w:rsidR="00375906" w:rsidRPr="00D95E14" w:rsidRDefault="00375906" w:rsidP="00BD490E">
      <w:pPr>
        <w:ind w:left="990" w:hanging="270"/>
        <w:jc w:val="both"/>
        <w:rPr>
          <w:sz w:val="22"/>
          <w:szCs w:val="22"/>
        </w:rPr>
      </w:pPr>
    </w:p>
    <w:p w14:paraId="5D0325F1" w14:textId="77777777" w:rsidR="00375906" w:rsidRPr="00D95E14" w:rsidRDefault="00375906" w:rsidP="00BD490E">
      <w:pPr>
        <w:ind w:left="990" w:hanging="270"/>
        <w:jc w:val="both"/>
        <w:rPr>
          <w:sz w:val="22"/>
          <w:szCs w:val="22"/>
        </w:rPr>
      </w:pPr>
      <w:r w:rsidRPr="00D95E14">
        <w:rPr>
          <w:sz w:val="22"/>
          <w:szCs w:val="22"/>
        </w:rPr>
        <w:t>4.  Results of any testing to date.  (See CDRL A004).</w:t>
      </w:r>
    </w:p>
    <w:p w14:paraId="5CD374FA" w14:textId="77777777" w:rsidR="00375906" w:rsidRPr="00D95E14" w:rsidRDefault="00375906" w:rsidP="00BD490E">
      <w:pPr>
        <w:ind w:left="990" w:hanging="270"/>
        <w:jc w:val="both"/>
        <w:rPr>
          <w:sz w:val="22"/>
          <w:szCs w:val="22"/>
        </w:rPr>
      </w:pPr>
    </w:p>
    <w:p w14:paraId="373B8046" w14:textId="77777777" w:rsidR="00375906" w:rsidRPr="00D95E14" w:rsidRDefault="00375906" w:rsidP="00BD490E">
      <w:pPr>
        <w:ind w:left="990" w:hanging="270"/>
        <w:jc w:val="both"/>
        <w:rPr>
          <w:sz w:val="22"/>
          <w:szCs w:val="22"/>
        </w:rPr>
      </w:pPr>
      <w:r w:rsidRPr="00D95E14">
        <w:rPr>
          <w:sz w:val="22"/>
          <w:szCs w:val="22"/>
        </w:rPr>
        <w:t>5.  Resolution to any Contractor/Government issues or concerns.</w:t>
      </w:r>
    </w:p>
    <w:p w14:paraId="00B4D506" w14:textId="77777777" w:rsidR="00375906" w:rsidRPr="00D95E14" w:rsidRDefault="00375906" w:rsidP="00375906">
      <w:pPr>
        <w:jc w:val="both"/>
        <w:rPr>
          <w:sz w:val="22"/>
          <w:szCs w:val="22"/>
        </w:rPr>
      </w:pPr>
    </w:p>
    <w:p w14:paraId="345D079E" w14:textId="74B7CCA8" w:rsidR="00375906" w:rsidRPr="00D95E14" w:rsidRDefault="00375906" w:rsidP="00E45229">
      <w:pPr>
        <w:ind w:left="990" w:hanging="270"/>
        <w:jc w:val="both"/>
        <w:rPr>
          <w:sz w:val="22"/>
          <w:szCs w:val="22"/>
        </w:rPr>
      </w:pPr>
      <w:r w:rsidRPr="00D95E14">
        <w:rPr>
          <w:sz w:val="22"/>
          <w:szCs w:val="22"/>
        </w:rPr>
        <w:t>6.  An assessment of other potential benefits/impacts of the prototypes, including weight savings, cost reduction, prolonged system life, and a recommendation of any changes for consideration/incorporation into the subsequent design that will be provided to the Government at the follow-on Critical Design Review.  (See CDRL A00</w:t>
      </w:r>
      <w:r w:rsidR="0009191C">
        <w:rPr>
          <w:sz w:val="22"/>
          <w:szCs w:val="22"/>
        </w:rPr>
        <w:t>7</w:t>
      </w:r>
      <w:r w:rsidRPr="00D95E14">
        <w:rPr>
          <w:sz w:val="22"/>
          <w:szCs w:val="22"/>
        </w:rPr>
        <w:t>).</w:t>
      </w:r>
    </w:p>
    <w:p w14:paraId="6FFA1A54" w14:textId="77777777" w:rsidR="00375906" w:rsidRPr="00D95E14" w:rsidRDefault="00375906" w:rsidP="00375906">
      <w:pPr>
        <w:rPr>
          <w:sz w:val="22"/>
          <w:szCs w:val="22"/>
        </w:rPr>
      </w:pPr>
    </w:p>
    <w:p w14:paraId="68D0FD5D" w14:textId="77777777" w:rsidR="00375906" w:rsidRPr="00D95E14" w:rsidRDefault="00375906" w:rsidP="00375906">
      <w:pPr>
        <w:ind w:left="720" w:hanging="360"/>
        <w:jc w:val="both"/>
        <w:rPr>
          <w:sz w:val="22"/>
          <w:szCs w:val="22"/>
        </w:rPr>
      </w:pPr>
      <w:r w:rsidRPr="00D95E14">
        <w:rPr>
          <w:sz w:val="22"/>
          <w:szCs w:val="22"/>
        </w:rPr>
        <w:t>C.  Critical Design Review (CDR):  This teleconference meeting shall be arranged by the Contractor two (2) weeks prior to the end of the contract completion date.  The Contractor shall provide the Government:</w:t>
      </w:r>
    </w:p>
    <w:p w14:paraId="3494D026" w14:textId="77777777" w:rsidR="00375906" w:rsidRPr="00D95E14" w:rsidRDefault="00375906" w:rsidP="00375906">
      <w:pPr>
        <w:jc w:val="both"/>
        <w:rPr>
          <w:sz w:val="22"/>
          <w:szCs w:val="22"/>
        </w:rPr>
      </w:pPr>
    </w:p>
    <w:p w14:paraId="4C0202D8" w14:textId="77777777" w:rsidR="00375906" w:rsidRPr="00D95E14" w:rsidRDefault="00C25942" w:rsidP="00BD490E">
      <w:pPr>
        <w:ind w:left="1080" w:hanging="360"/>
        <w:jc w:val="both"/>
        <w:rPr>
          <w:sz w:val="22"/>
          <w:szCs w:val="22"/>
        </w:rPr>
      </w:pPr>
      <w:r w:rsidRPr="00D95E14">
        <w:rPr>
          <w:sz w:val="22"/>
          <w:szCs w:val="22"/>
        </w:rPr>
        <w:t xml:space="preserve">1.  </w:t>
      </w:r>
      <w:r w:rsidR="00375906" w:rsidRPr="00D95E14">
        <w:rPr>
          <w:sz w:val="22"/>
          <w:szCs w:val="22"/>
        </w:rPr>
        <w:t>A Critical Design Review and Materials Read-Ahead Briefing no less than ten (10) calendar days prior to the CDR (See CDRL A0</w:t>
      </w:r>
      <w:r w:rsidR="00FB5D52" w:rsidRPr="00D95E14">
        <w:rPr>
          <w:sz w:val="22"/>
          <w:szCs w:val="22"/>
        </w:rPr>
        <w:t>0</w:t>
      </w:r>
      <w:r w:rsidR="00375906" w:rsidRPr="00D95E14">
        <w:rPr>
          <w:sz w:val="22"/>
          <w:szCs w:val="22"/>
        </w:rPr>
        <w:t>8).</w:t>
      </w:r>
    </w:p>
    <w:p w14:paraId="0433E56D" w14:textId="77777777" w:rsidR="00375906" w:rsidRPr="00D95E14" w:rsidRDefault="00375906" w:rsidP="00BD490E">
      <w:pPr>
        <w:ind w:left="1080" w:hanging="360"/>
        <w:jc w:val="both"/>
        <w:rPr>
          <w:sz w:val="22"/>
          <w:szCs w:val="22"/>
        </w:rPr>
      </w:pPr>
    </w:p>
    <w:p w14:paraId="55F5289D" w14:textId="77777777" w:rsidR="00375906" w:rsidRPr="00D95E14" w:rsidRDefault="00375906" w:rsidP="00BD490E">
      <w:pPr>
        <w:ind w:left="1080" w:hanging="360"/>
        <w:jc w:val="both"/>
        <w:rPr>
          <w:sz w:val="22"/>
          <w:szCs w:val="22"/>
        </w:rPr>
      </w:pPr>
      <w:r w:rsidRPr="00D95E14">
        <w:rPr>
          <w:sz w:val="22"/>
          <w:szCs w:val="22"/>
        </w:rPr>
        <w:t>2.  A Detailed Design Report (See CDRL A008).</w:t>
      </w:r>
    </w:p>
    <w:p w14:paraId="3923FAB5" w14:textId="77777777" w:rsidR="00375906" w:rsidRPr="00D95E14" w:rsidRDefault="00375906" w:rsidP="00BD490E">
      <w:pPr>
        <w:ind w:left="1080" w:hanging="360"/>
        <w:jc w:val="both"/>
        <w:rPr>
          <w:sz w:val="22"/>
          <w:szCs w:val="22"/>
        </w:rPr>
      </w:pPr>
    </w:p>
    <w:p w14:paraId="3455CC45" w14:textId="77777777" w:rsidR="00375906" w:rsidRPr="00D95E14" w:rsidRDefault="00375906" w:rsidP="00BD490E">
      <w:pPr>
        <w:ind w:left="1080" w:hanging="360"/>
        <w:jc w:val="both"/>
        <w:rPr>
          <w:sz w:val="22"/>
          <w:szCs w:val="22"/>
        </w:rPr>
      </w:pPr>
      <w:r w:rsidRPr="00D95E14">
        <w:rPr>
          <w:sz w:val="22"/>
          <w:szCs w:val="22"/>
        </w:rPr>
        <w:t>3.  Trade off considerations for the design.  (See CDRL A008).</w:t>
      </w:r>
    </w:p>
    <w:p w14:paraId="5A8A36BA" w14:textId="77777777" w:rsidR="00375906" w:rsidRPr="00D95E14" w:rsidRDefault="00375906" w:rsidP="00BD490E">
      <w:pPr>
        <w:ind w:left="1080" w:hanging="360"/>
        <w:jc w:val="both"/>
        <w:rPr>
          <w:sz w:val="22"/>
          <w:szCs w:val="22"/>
        </w:rPr>
      </w:pPr>
    </w:p>
    <w:p w14:paraId="0362583D" w14:textId="77777777" w:rsidR="00375906" w:rsidRPr="00D95E14" w:rsidRDefault="00375906" w:rsidP="00BD490E">
      <w:pPr>
        <w:ind w:left="1080" w:hanging="360"/>
        <w:jc w:val="both"/>
        <w:rPr>
          <w:sz w:val="22"/>
          <w:szCs w:val="22"/>
        </w:rPr>
      </w:pPr>
      <w:r w:rsidRPr="00D95E14">
        <w:rPr>
          <w:sz w:val="22"/>
          <w:szCs w:val="22"/>
        </w:rPr>
        <w:t>4.  Results of any testing to date.  (See CDRL A004).</w:t>
      </w:r>
    </w:p>
    <w:p w14:paraId="6EDFC764" w14:textId="77777777" w:rsidR="00375906" w:rsidRPr="00D95E14" w:rsidRDefault="00375906" w:rsidP="00BD490E">
      <w:pPr>
        <w:ind w:left="1080" w:hanging="360"/>
        <w:jc w:val="both"/>
        <w:rPr>
          <w:sz w:val="22"/>
          <w:szCs w:val="22"/>
        </w:rPr>
      </w:pPr>
    </w:p>
    <w:p w14:paraId="19F1401D" w14:textId="77777777" w:rsidR="00375906" w:rsidRPr="00D95E14" w:rsidRDefault="00375906" w:rsidP="00BD490E">
      <w:pPr>
        <w:ind w:left="1080" w:hanging="360"/>
        <w:jc w:val="both"/>
        <w:rPr>
          <w:sz w:val="22"/>
          <w:szCs w:val="22"/>
        </w:rPr>
      </w:pPr>
      <w:r w:rsidRPr="00D95E14">
        <w:rPr>
          <w:sz w:val="22"/>
          <w:szCs w:val="22"/>
        </w:rPr>
        <w:t>5.  Resolution to any Contractor/Government issues or concerns.</w:t>
      </w:r>
    </w:p>
    <w:p w14:paraId="57356AE1" w14:textId="77777777" w:rsidR="00375906" w:rsidRDefault="00375906" w:rsidP="00375906">
      <w:pPr>
        <w:jc w:val="both"/>
        <w:rPr>
          <w:sz w:val="22"/>
          <w:szCs w:val="22"/>
        </w:rPr>
      </w:pPr>
    </w:p>
    <w:p w14:paraId="37522B7B" w14:textId="21354A74" w:rsidR="00375906" w:rsidRDefault="00375906" w:rsidP="00375906">
      <w:pPr>
        <w:ind w:left="720" w:hanging="360"/>
        <w:jc w:val="both"/>
        <w:rPr>
          <w:sz w:val="22"/>
          <w:szCs w:val="22"/>
        </w:rPr>
      </w:pPr>
      <w:r>
        <w:rPr>
          <w:sz w:val="22"/>
          <w:szCs w:val="22"/>
        </w:rPr>
        <w:t xml:space="preserve">D.  Phase II </w:t>
      </w:r>
      <w:r w:rsidRPr="00B24A63">
        <w:rPr>
          <w:sz w:val="22"/>
          <w:szCs w:val="22"/>
        </w:rPr>
        <w:t>C</w:t>
      </w:r>
      <w:r>
        <w:rPr>
          <w:sz w:val="22"/>
          <w:szCs w:val="22"/>
        </w:rPr>
        <w:t>lose</w:t>
      </w:r>
      <w:r w:rsidRPr="00B24A63">
        <w:rPr>
          <w:sz w:val="22"/>
          <w:szCs w:val="22"/>
        </w:rPr>
        <w:t>-O</w:t>
      </w:r>
      <w:r>
        <w:rPr>
          <w:sz w:val="22"/>
          <w:szCs w:val="22"/>
        </w:rPr>
        <w:t xml:space="preserve">ut Meeting:  </w:t>
      </w:r>
      <w:r w:rsidRPr="00B24A63">
        <w:rPr>
          <w:sz w:val="22"/>
          <w:szCs w:val="22"/>
        </w:rPr>
        <w:t>The Phase II Close-Out Meeting shall be conducted in</w:t>
      </w:r>
      <w:r>
        <w:rPr>
          <w:sz w:val="22"/>
          <w:szCs w:val="22"/>
        </w:rPr>
        <w:t xml:space="preserve"> </w:t>
      </w:r>
      <w:r w:rsidR="00A3698D">
        <w:rPr>
          <w:sz w:val="22"/>
          <w:szCs w:val="22"/>
        </w:rPr>
        <w:t xml:space="preserve">Tampa, Florida </w:t>
      </w:r>
      <w:r w:rsidR="00D84A01">
        <w:rPr>
          <w:sz w:val="22"/>
          <w:szCs w:val="22"/>
        </w:rPr>
        <w:t xml:space="preserve">or virtually </w:t>
      </w:r>
      <w:r>
        <w:rPr>
          <w:sz w:val="22"/>
          <w:szCs w:val="22"/>
        </w:rPr>
        <w:t xml:space="preserve">no earlier than seven (7) calendar days prior to </w:t>
      </w:r>
      <w:r w:rsidRPr="00B24A63">
        <w:rPr>
          <w:sz w:val="22"/>
          <w:szCs w:val="22"/>
        </w:rPr>
        <w:t xml:space="preserve">the conclusion of the </w:t>
      </w:r>
      <w:r>
        <w:rPr>
          <w:sz w:val="22"/>
          <w:szCs w:val="22"/>
        </w:rPr>
        <w:t xml:space="preserve">Phase II </w:t>
      </w:r>
      <w:r w:rsidRPr="00B24A63">
        <w:rPr>
          <w:sz w:val="22"/>
          <w:szCs w:val="22"/>
        </w:rPr>
        <w:t xml:space="preserve">Period of Performance.  </w:t>
      </w:r>
      <w:r>
        <w:rPr>
          <w:sz w:val="22"/>
          <w:szCs w:val="22"/>
        </w:rPr>
        <w:t xml:space="preserve">The </w:t>
      </w:r>
      <w:r w:rsidRPr="00050846">
        <w:rPr>
          <w:sz w:val="22"/>
          <w:szCs w:val="22"/>
        </w:rPr>
        <w:t xml:space="preserve">Contractor shall provide </w:t>
      </w:r>
      <w:r>
        <w:rPr>
          <w:sz w:val="22"/>
          <w:szCs w:val="22"/>
        </w:rPr>
        <w:t>the Government:</w:t>
      </w:r>
    </w:p>
    <w:p w14:paraId="665ADD2E" w14:textId="77777777" w:rsidR="00375906" w:rsidRDefault="00375906" w:rsidP="00375906">
      <w:pPr>
        <w:ind w:left="720" w:hanging="360"/>
        <w:jc w:val="both"/>
        <w:rPr>
          <w:sz w:val="22"/>
          <w:szCs w:val="22"/>
        </w:rPr>
      </w:pPr>
    </w:p>
    <w:p w14:paraId="46E42333" w14:textId="77777777" w:rsidR="00375906" w:rsidRPr="00140FE5" w:rsidRDefault="00375906" w:rsidP="00375906">
      <w:pPr>
        <w:ind w:left="720"/>
        <w:jc w:val="both"/>
        <w:rPr>
          <w:sz w:val="22"/>
          <w:szCs w:val="22"/>
        </w:rPr>
      </w:pPr>
      <w:r>
        <w:rPr>
          <w:sz w:val="22"/>
          <w:szCs w:val="22"/>
        </w:rPr>
        <w:lastRenderedPageBreak/>
        <w:t>1.  A b</w:t>
      </w:r>
      <w:r w:rsidRPr="005B1631">
        <w:rPr>
          <w:sz w:val="22"/>
          <w:szCs w:val="22"/>
        </w:rPr>
        <w:t xml:space="preserve">riefing on </w:t>
      </w:r>
      <w:r w:rsidRPr="00140FE5">
        <w:rPr>
          <w:sz w:val="22"/>
          <w:szCs w:val="22"/>
        </w:rPr>
        <w:t xml:space="preserve">the </w:t>
      </w:r>
      <w:r>
        <w:rPr>
          <w:sz w:val="22"/>
          <w:szCs w:val="22"/>
        </w:rPr>
        <w:t>test verification (See CDRL A004</w:t>
      </w:r>
      <w:r w:rsidRPr="00140FE5">
        <w:rPr>
          <w:sz w:val="22"/>
          <w:szCs w:val="22"/>
        </w:rPr>
        <w:t>).</w:t>
      </w:r>
    </w:p>
    <w:p w14:paraId="39272E2D" w14:textId="77777777" w:rsidR="00375906" w:rsidRPr="00140FE5" w:rsidRDefault="00375906" w:rsidP="00375906">
      <w:pPr>
        <w:jc w:val="both"/>
        <w:rPr>
          <w:sz w:val="22"/>
          <w:szCs w:val="22"/>
        </w:rPr>
      </w:pPr>
    </w:p>
    <w:p w14:paraId="2F23353D" w14:textId="77777777" w:rsidR="00375906" w:rsidRPr="005B1631" w:rsidRDefault="00375906" w:rsidP="00375906">
      <w:pPr>
        <w:ind w:left="720"/>
        <w:jc w:val="both"/>
        <w:rPr>
          <w:sz w:val="22"/>
          <w:szCs w:val="22"/>
        </w:rPr>
      </w:pPr>
      <w:r w:rsidRPr="00140FE5">
        <w:rPr>
          <w:sz w:val="22"/>
          <w:szCs w:val="22"/>
        </w:rPr>
        <w:t>2.  An update of the progress to date.  (See CDRL A002)</w:t>
      </w:r>
    </w:p>
    <w:p w14:paraId="74BE242C" w14:textId="77777777" w:rsidR="00375906" w:rsidRDefault="00375906" w:rsidP="00375906">
      <w:pPr>
        <w:jc w:val="both"/>
        <w:rPr>
          <w:sz w:val="22"/>
          <w:szCs w:val="22"/>
        </w:rPr>
      </w:pPr>
    </w:p>
    <w:p w14:paraId="3D7EA2F9" w14:textId="77777777" w:rsidR="00375906" w:rsidRPr="005B1631" w:rsidRDefault="00375906" w:rsidP="00375906">
      <w:pPr>
        <w:ind w:left="720"/>
        <w:jc w:val="both"/>
        <w:rPr>
          <w:sz w:val="22"/>
          <w:szCs w:val="22"/>
        </w:rPr>
      </w:pPr>
      <w:r>
        <w:rPr>
          <w:sz w:val="22"/>
          <w:szCs w:val="22"/>
        </w:rPr>
        <w:t xml:space="preserve">3.  </w:t>
      </w:r>
      <w:r w:rsidRPr="005B1631">
        <w:rPr>
          <w:sz w:val="22"/>
          <w:szCs w:val="22"/>
        </w:rPr>
        <w:t>Resolution to any Contractor/Government issues or concerns.</w:t>
      </w:r>
    </w:p>
    <w:p w14:paraId="3E3EEF04" w14:textId="77777777" w:rsidR="00375906" w:rsidRPr="00F21C1F" w:rsidRDefault="00375906" w:rsidP="00375906">
      <w:pPr>
        <w:jc w:val="both"/>
        <w:rPr>
          <w:sz w:val="22"/>
          <w:szCs w:val="22"/>
        </w:rPr>
      </w:pPr>
    </w:p>
    <w:p w14:paraId="0F644E03" w14:textId="77777777" w:rsidR="00375906" w:rsidRPr="00B24A63" w:rsidRDefault="00375906" w:rsidP="00375906">
      <w:pPr>
        <w:jc w:val="both"/>
        <w:rPr>
          <w:sz w:val="22"/>
          <w:szCs w:val="22"/>
        </w:rPr>
      </w:pPr>
      <w:r w:rsidRPr="00344777">
        <w:rPr>
          <w:b/>
          <w:sz w:val="22"/>
          <w:szCs w:val="22"/>
        </w:rPr>
        <w:t>X.</w:t>
      </w:r>
      <w:r>
        <w:rPr>
          <w:b/>
          <w:sz w:val="22"/>
          <w:szCs w:val="22"/>
        </w:rPr>
        <w:t xml:space="preserve">  </w:t>
      </w:r>
      <w:r w:rsidRPr="00B24A63">
        <w:rPr>
          <w:b/>
          <w:sz w:val="22"/>
          <w:szCs w:val="22"/>
        </w:rPr>
        <w:t>NOTIFICATION:</w:t>
      </w:r>
      <w:r w:rsidRPr="00B24A63">
        <w:rPr>
          <w:sz w:val="22"/>
          <w:szCs w:val="22"/>
        </w:rPr>
        <w:t xml:space="preserve">  The Contractor shall notify </w:t>
      </w:r>
      <w:r>
        <w:rPr>
          <w:sz w:val="22"/>
          <w:szCs w:val="22"/>
        </w:rPr>
        <w:t>US</w:t>
      </w:r>
      <w:r w:rsidRPr="00B24A63">
        <w:rPr>
          <w:sz w:val="22"/>
          <w:szCs w:val="22"/>
        </w:rPr>
        <w:t>SOCOM no less than thirty (30) calendar days prior to tests</w:t>
      </w:r>
      <w:r>
        <w:rPr>
          <w:sz w:val="22"/>
          <w:szCs w:val="22"/>
        </w:rPr>
        <w:t>, demonstrations</w:t>
      </w:r>
      <w:r w:rsidRPr="00B24A63">
        <w:rPr>
          <w:sz w:val="22"/>
          <w:szCs w:val="22"/>
        </w:rPr>
        <w:t xml:space="preserve"> and reviews at the </w:t>
      </w:r>
      <w:r>
        <w:rPr>
          <w:sz w:val="22"/>
          <w:szCs w:val="22"/>
        </w:rPr>
        <w:t>C</w:t>
      </w:r>
      <w:r w:rsidRPr="00B24A63">
        <w:rPr>
          <w:sz w:val="22"/>
          <w:szCs w:val="22"/>
        </w:rPr>
        <w:t xml:space="preserve">ontractor’s facilities to ensure </w:t>
      </w:r>
      <w:r>
        <w:rPr>
          <w:sz w:val="22"/>
          <w:szCs w:val="22"/>
        </w:rPr>
        <w:t>US</w:t>
      </w:r>
      <w:r w:rsidRPr="00B24A63">
        <w:rPr>
          <w:sz w:val="22"/>
          <w:szCs w:val="22"/>
        </w:rPr>
        <w:t>SOCOM representatives can attend</w:t>
      </w:r>
      <w:r>
        <w:rPr>
          <w:sz w:val="22"/>
          <w:szCs w:val="22"/>
        </w:rPr>
        <w:t xml:space="preserve"> should they desire to do so</w:t>
      </w:r>
      <w:r w:rsidRPr="00B24A63">
        <w:rPr>
          <w:sz w:val="22"/>
          <w:szCs w:val="22"/>
        </w:rPr>
        <w:t>.</w:t>
      </w:r>
    </w:p>
    <w:p w14:paraId="16118F9A" w14:textId="77777777" w:rsidR="00375906" w:rsidRPr="00B24A63" w:rsidRDefault="00375906" w:rsidP="00375906">
      <w:pPr>
        <w:ind w:left="360"/>
        <w:jc w:val="both"/>
        <w:rPr>
          <w:sz w:val="22"/>
          <w:szCs w:val="22"/>
        </w:rPr>
      </w:pPr>
    </w:p>
    <w:p w14:paraId="3ABEB780" w14:textId="77777777" w:rsidR="00375906" w:rsidRPr="00B24A63" w:rsidRDefault="00375906" w:rsidP="00375906">
      <w:pPr>
        <w:jc w:val="both"/>
        <w:rPr>
          <w:sz w:val="22"/>
          <w:szCs w:val="22"/>
        </w:rPr>
      </w:pPr>
      <w:r w:rsidRPr="00344777">
        <w:rPr>
          <w:b/>
          <w:sz w:val="22"/>
          <w:szCs w:val="22"/>
        </w:rPr>
        <w:t>XI.  TRAVEL</w:t>
      </w:r>
      <w:r w:rsidRPr="00C66BCD">
        <w:rPr>
          <w:b/>
          <w:sz w:val="22"/>
          <w:szCs w:val="22"/>
        </w:rPr>
        <w:t xml:space="preserve"> REQUIREMENTS:</w:t>
      </w:r>
      <w:r w:rsidRPr="00B24A63">
        <w:rPr>
          <w:sz w:val="22"/>
          <w:szCs w:val="22"/>
        </w:rPr>
        <w:t xml:space="preserve"> </w:t>
      </w:r>
      <w:r>
        <w:rPr>
          <w:sz w:val="22"/>
          <w:szCs w:val="22"/>
        </w:rPr>
        <w:t xml:space="preserve"> </w:t>
      </w:r>
      <w:r w:rsidR="00D95E14" w:rsidRPr="0009191C">
        <w:rPr>
          <w:sz w:val="22"/>
          <w:szCs w:val="22"/>
        </w:rPr>
        <w:t>If the PDR and CDR are not conducted virtually and travel is required, t</w:t>
      </w:r>
      <w:r w:rsidRPr="0009191C">
        <w:rPr>
          <w:sz w:val="22"/>
          <w:szCs w:val="22"/>
        </w:rPr>
        <w:t>he Contractor shall comply</w:t>
      </w:r>
      <w:r w:rsidRPr="00C66BCD">
        <w:rPr>
          <w:sz w:val="22"/>
          <w:szCs w:val="22"/>
        </w:rPr>
        <w:t xml:space="preserve"> with the Federal Acquisition Regulation 31.205-46 (</w:t>
      </w:r>
      <w:hyperlink r:id="rId12" w:history="1">
        <w:r w:rsidRPr="000A6080">
          <w:rPr>
            <w:rStyle w:val="Hyperlink"/>
            <w:sz w:val="22"/>
            <w:szCs w:val="22"/>
          </w:rPr>
          <w:t>http://www.gsa.gov/perdiem</w:t>
        </w:r>
      </w:hyperlink>
      <w:r w:rsidRPr="00C66BCD">
        <w:rPr>
          <w:sz w:val="22"/>
          <w:szCs w:val="22"/>
        </w:rPr>
        <w:t xml:space="preserve">) on proposing all travel related costs.  </w:t>
      </w:r>
      <w:r w:rsidR="00D95E14">
        <w:rPr>
          <w:sz w:val="22"/>
          <w:szCs w:val="22"/>
        </w:rPr>
        <w:t>If required, t</w:t>
      </w:r>
      <w:r w:rsidRPr="00C66BCD">
        <w:rPr>
          <w:sz w:val="22"/>
          <w:szCs w:val="22"/>
        </w:rPr>
        <w:t>he Contractor shall include the costs associated with the following travel requirements in the proposal:</w:t>
      </w:r>
    </w:p>
    <w:p w14:paraId="419277F3" w14:textId="77777777" w:rsidR="00375906" w:rsidRPr="00B24A63" w:rsidRDefault="00375906" w:rsidP="00375906">
      <w:pPr>
        <w:jc w:val="both"/>
        <w:rPr>
          <w:sz w:val="22"/>
          <w:szCs w:val="22"/>
        </w:rPr>
      </w:pPr>
    </w:p>
    <w:p w14:paraId="2B1085F0" w14:textId="77777777" w:rsidR="00375906" w:rsidRPr="00D95E14" w:rsidRDefault="00375906" w:rsidP="00375906">
      <w:pPr>
        <w:pStyle w:val="ListParagraph"/>
        <w:numPr>
          <w:ilvl w:val="0"/>
          <w:numId w:val="6"/>
        </w:numPr>
        <w:jc w:val="both"/>
        <w:rPr>
          <w:sz w:val="22"/>
          <w:szCs w:val="22"/>
        </w:rPr>
      </w:pPr>
      <w:r w:rsidRPr="00D95E14">
        <w:rPr>
          <w:sz w:val="22"/>
          <w:szCs w:val="22"/>
        </w:rPr>
        <w:t>Phase II Kick-Off Meeting:  Tampa, Florida; one (1) overnight, no more than three (3) Contractor representatives.</w:t>
      </w:r>
    </w:p>
    <w:p w14:paraId="33EF07CD" w14:textId="77777777" w:rsidR="00375906" w:rsidRPr="00D95E14" w:rsidRDefault="00375906" w:rsidP="00375906">
      <w:pPr>
        <w:pStyle w:val="ListParagraph"/>
        <w:ind w:left="735"/>
        <w:jc w:val="both"/>
        <w:rPr>
          <w:sz w:val="22"/>
          <w:szCs w:val="22"/>
        </w:rPr>
      </w:pPr>
    </w:p>
    <w:p w14:paraId="09DDB6D9" w14:textId="77777777" w:rsidR="00375906" w:rsidRPr="00D95E14" w:rsidRDefault="00375906" w:rsidP="00375906">
      <w:pPr>
        <w:pStyle w:val="ListParagraph"/>
        <w:numPr>
          <w:ilvl w:val="0"/>
          <w:numId w:val="6"/>
        </w:numPr>
        <w:jc w:val="both"/>
        <w:rPr>
          <w:sz w:val="22"/>
          <w:szCs w:val="22"/>
        </w:rPr>
      </w:pPr>
      <w:r w:rsidRPr="00D95E14">
        <w:rPr>
          <w:sz w:val="22"/>
          <w:szCs w:val="22"/>
        </w:rPr>
        <w:t xml:space="preserve">Phase II Close-Out Meeting:  Tampa, Florida; one (1) overnight, no more than three (3) Contractor representatives. </w:t>
      </w:r>
    </w:p>
    <w:p w14:paraId="19BC5423" w14:textId="77777777" w:rsidR="00375906" w:rsidRPr="00D95E14" w:rsidRDefault="00375906" w:rsidP="00375906">
      <w:pPr>
        <w:ind w:left="360"/>
        <w:rPr>
          <w:sz w:val="22"/>
          <w:szCs w:val="22"/>
        </w:rPr>
      </w:pPr>
    </w:p>
    <w:p w14:paraId="68F48A1F" w14:textId="77777777" w:rsidR="00375906" w:rsidRPr="00635D17" w:rsidRDefault="00375906" w:rsidP="00375906">
      <w:pPr>
        <w:jc w:val="both"/>
        <w:rPr>
          <w:b/>
          <w:sz w:val="22"/>
          <w:szCs w:val="22"/>
        </w:rPr>
      </w:pPr>
      <w:r w:rsidRPr="00344777">
        <w:rPr>
          <w:b/>
          <w:sz w:val="22"/>
          <w:szCs w:val="22"/>
        </w:rPr>
        <w:t>XII.</w:t>
      </w:r>
      <w:r w:rsidRPr="00635D17">
        <w:rPr>
          <w:b/>
          <w:sz w:val="22"/>
          <w:szCs w:val="22"/>
        </w:rPr>
        <w:t xml:space="preserve">  DISCLOSURE OF UNCLASSIFIED INFORMATION:</w:t>
      </w:r>
    </w:p>
    <w:p w14:paraId="0863A513" w14:textId="77777777" w:rsidR="00375906" w:rsidRDefault="00375906" w:rsidP="00375906">
      <w:pPr>
        <w:jc w:val="both"/>
        <w:rPr>
          <w:sz w:val="22"/>
          <w:szCs w:val="22"/>
        </w:rPr>
      </w:pPr>
    </w:p>
    <w:p w14:paraId="71C08D43" w14:textId="77777777" w:rsidR="00375906" w:rsidRDefault="00375906" w:rsidP="00375906">
      <w:pPr>
        <w:jc w:val="both"/>
        <w:rPr>
          <w:sz w:val="22"/>
          <w:szCs w:val="22"/>
        </w:rPr>
      </w:pPr>
      <w:r>
        <w:rPr>
          <w:sz w:val="22"/>
          <w:szCs w:val="22"/>
        </w:rPr>
        <w:t>A.  On September 21, 2001, the Department of Defense designated Headquarters US Special Operations Command (USSOCOM) a sensitive unit, as defined by Title 10 United States Code (USC) Section 552 (10 USC 552).  In keeping with this designation, unclassified information related to USSOCOM military technology acquisitions managed by USSOCOM or any of its component commands, will be designated Controlled Unclassified Information (CUI).  As such, the contractor hereby unequivocally agrees that it shall not release to anyone outside the Contractor’s organization any unclassified information, regardless of medium (e.g., film, tape, document, Contractor’s external website, newspaper, magazine, journal, corporate annual report, etc.), pertaining to any part of this contract or any program related to this contract, unless the Contracting Officer has given prior written approval.  Furthermore, any release of information which associates USSOCOM, Special Operation Forces (SOF), or any component command with an acquisition program, contractor, or this contract is prohibited unless specifically authorized by USSOCOM.</w:t>
      </w:r>
    </w:p>
    <w:p w14:paraId="02F8287F" w14:textId="77777777" w:rsidR="00375906" w:rsidRDefault="00375906" w:rsidP="00375906">
      <w:pPr>
        <w:jc w:val="both"/>
        <w:rPr>
          <w:sz w:val="22"/>
          <w:szCs w:val="22"/>
        </w:rPr>
      </w:pPr>
    </w:p>
    <w:p w14:paraId="05364C02" w14:textId="77777777" w:rsidR="00375906" w:rsidRDefault="00375906" w:rsidP="00375906">
      <w:pPr>
        <w:jc w:val="both"/>
        <w:rPr>
          <w:sz w:val="22"/>
          <w:szCs w:val="22"/>
        </w:rPr>
      </w:pPr>
      <w:r>
        <w:rPr>
          <w:sz w:val="22"/>
          <w:szCs w:val="22"/>
        </w:rPr>
        <w:t>B.  Requests for approval shall identify the specific information to be released, the medium to be used, and the purpose for the release.  The Contractor shall submit its request to the Contracting Officer at least 45 days before the proposed date for release for approval.  No release of any restricted information shall be made without specific written authorization by the Contracting Officer.</w:t>
      </w:r>
    </w:p>
    <w:p w14:paraId="0F0EA13A" w14:textId="77777777" w:rsidR="00375906" w:rsidRDefault="00375906" w:rsidP="00375906">
      <w:pPr>
        <w:jc w:val="both"/>
        <w:rPr>
          <w:sz w:val="22"/>
          <w:szCs w:val="22"/>
        </w:rPr>
      </w:pPr>
    </w:p>
    <w:p w14:paraId="3F4BF6E4" w14:textId="77777777" w:rsidR="00375906" w:rsidRDefault="00375906" w:rsidP="00375906">
      <w:pPr>
        <w:jc w:val="both"/>
        <w:rPr>
          <w:sz w:val="22"/>
          <w:szCs w:val="22"/>
        </w:rPr>
      </w:pPr>
      <w:r>
        <w:rPr>
          <w:sz w:val="22"/>
          <w:szCs w:val="22"/>
        </w:rPr>
        <w:t>C.  The Contractor shall include a similar requirement in each subcontract under this contract.  Subcontractors shall submit requests for authorization to release through the prime contractor to the Contracting Officer.</w:t>
      </w:r>
    </w:p>
    <w:p w14:paraId="604B68B2" w14:textId="77777777" w:rsidR="00375906" w:rsidRDefault="00375906" w:rsidP="00375906">
      <w:pPr>
        <w:jc w:val="both"/>
        <w:rPr>
          <w:sz w:val="22"/>
          <w:szCs w:val="22"/>
        </w:rPr>
      </w:pPr>
    </w:p>
    <w:p w14:paraId="47FC7158" w14:textId="77777777" w:rsidR="00375906" w:rsidRDefault="00375906" w:rsidP="00375906">
      <w:pPr>
        <w:jc w:val="both"/>
      </w:pPr>
      <w:r>
        <w:rPr>
          <w:sz w:val="22"/>
          <w:szCs w:val="22"/>
        </w:rPr>
        <w:t xml:space="preserve">D.  The Contractor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Contracting Officer.  </w:t>
      </w:r>
    </w:p>
    <w:p w14:paraId="3A952066" w14:textId="77777777" w:rsidR="004B164E" w:rsidRDefault="004B164E" w:rsidP="00375906">
      <w:pPr>
        <w:jc w:val="both"/>
      </w:pPr>
    </w:p>
    <w:sectPr w:rsidR="004B164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58AAA" w14:textId="77777777" w:rsidR="00212C5F" w:rsidRDefault="00212C5F" w:rsidP="004B164E">
      <w:r>
        <w:separator/>
      </w:r>
    </w:p>
  </w:endnote>
  <w:endnote w:type="continuationSeparator" w:id="0">
    <w:p w14:paraId="408B638B" w14:textId="77777777" w:rsidR="00212C5F" w:rsidRDefault="00212C5F" w:rsidP="004B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8C452" w14:textId="77777777" w:rsidR="00212C5F" w:rsidRDefault="00212C5F" w:rsidP="004B164E">
      <w:r>
        <w:separator/>
      </w:r>
    </w:p>
  </w:footnote>
  <w:footnote w:type="continuationSeparator" w:id="0">
    <w:p w14:paraId="1BAD7F9A" w14:textId="77777777" w:rsidR="00212C5F" w:rsidRDefault="00212C5F" w:rsidP="004B1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09C9A" w14:textId="77777777" w:rsidR="004B164E" w:rsidRDefault="004B164E" w:rsidP="004B164E">
    <w:pPr>
      <w:pStyle w:val="Header"/>
      <w:jc w:val="center"/>
    </w:pPr>
    <w: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06C2"/>
    <w:multiLevelType w:val="hybridMultilevel"/>
    <w:tmpl w:val="F3DA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D52"/>
    <w:multiLevelType w:val="hybridMultilevel"/>
    <w:tmpl w:val="0F8A9458"/>
    <w:lvl w:ilvl="0" w:tplc="2A5A0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524D02"/>
    <w:multiLevelType w:val="hybridMultilevel"/>
    <w:tmpl w:val="3C7859EE"/>
    <w:lvl w:ilvl="0" w:tplc="628E812A">
      <w:start w:val="1"/>
      <w:numFmt w:val="upperLetter"/>
      <w:lvlText w:val="%1."/>
      <w:lvlJc w:val="left"/>
      <w:pPr>
        <w:ind w:left="720" w:hanging="360"/>
      </w:pPr>
      <w:rPr>
        <w:rFonts w:hint="default"/>
        <w:b w:val="0"/>
      </w:rPr>
    </w:lvl>
    <w:lvl w:ilvl="1" w:tplc="F16C46A6">
      <w:start w:val="1"/>
      <w:numFmt w:val="decimal"/>
      <w:lvlText w:val="%2."/>
      <w:lvlJc w:val="left"/>
      <w:pPr>
        <w:ind w:left="1080" w:hanging="360"/>
      </w:pPr>
      <w:rPr>
        <w:b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74361A"/>
    <w:multiLevelType w:val="hybridMultilevel"/>
    <w:tmpl w:val="DCD69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E5446"/>
    <w:multiLevelType w:val="hybridMultilevel"/>
    <w:tmpl w:val="3E301C94"/>
    <w:lvl w:ilvl="0" w:tplc="733AD99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4E"/>
    <w:rsid w:val="00020D0A"/>
    <w:rsid w:val="000650C4"/>
    <w:rsid w:val="0009191C"/>
    <w:rsid w:val="000B6A9D"/>
    <w:rsid w:val="000E719D"/>
    <w:rsid w:val="00110C13"/>
    <w:rsid w:val="0018018E"/>
    <w:rsid w:val="001B744A"/>
    <w:rsid w:val="00212C5F"/>
    <w:rsid w:val="00216884"/>
    <w:rsid w:val="00222D2D"/>
    <w:rsid w:val="002770ED"/>
    <w:rsid w:val="002A3421"/>
    <w:rsid w:val="002B51FE"/>
    <w:rsid w:val="00344777"/>
    <w:rsid w:val="00350E2A"/>
    <w:rsid w:val="00375906"/>
    <w:rsid w:val="00497613"/>
    <w:rsid w:val="004B02A5"/>
    <w:rsid w:val="004B164E"/>
    <w:rsid w:val="00516BF9"/>
    <w:rsid w:val="00523363"/>
    <w:rsid w:val="005B29A9"/>
    <w:rsid w:val="00650A0F"/>
    <w:rsid w:val="00652527"/>
    <w:rsid w:val="006545B7"/>
    <w:rsid w:val="00684BBC"/>
    <w:rsid w:val="006B1F58"/>
    <w:rsid w:val="006C2F2F"/>
    <w:rsid w:val="007D58C1"/>
    <w:rsid w:val="00824E79"/>
    <w:rsid w:val="0089723D"/>
    <w:rsid w:val="008B50E6"/>
    <w:rsid w:val="008C4E40"/>
    <w:rsid w:val="008F27FF"/>
    <w:rsid w:val="009A5261"/>
    <w:rsid w:val="009F5D7E"/>
    <w:rsid w:val="00A16F5C"/>
    <w:rsid w:val="00A31120"/>
    <w:rsid w:val="00A3698D"/>
    <w:rsid w:val="00AE403D"/>
    <w:rsid w:val="00B142AC"/>
    <w:rsid w:val="00B17AF8"/>
    <w:rsid w:val="00B412BC"/>
    <w:rsid w:val="00BD490E"/>
    <w:rsid w:val="00C25942"/>
    <w:rsid w:val="00C2612E"/>
    <w:rsid w:val="00C61C59"/>
    <w:rsid w:val="00C80B0E"/>
    <w:rsid w:val="00D23381"/>
    <w:rsid w:val="00D503CD"/>
    <w:rsid w:val="00D84A01"/>
    <w:rsid w:val="00D95E14"/>
    <w:rsid w:val="00E068E4"/>
    <w:rsid w:val="00E22070"/>
    <w:rsid w:val="00E27A71"/>
    <w:rsid w:val="00E45229"/>
    <w:rsid w:val="00E77C1B"/>
    <w:rsid w:val="00ED405D"/>
    <w:rsid w:val="00FA544E"/>
    <w:rsid w:val="00FB5D52"/>
    <w:rsid w:val="00FD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FEF5"/>
  <w15:chartTrackingRefBased/>
  <w15:docId w15:val="{8E0B5474-6F5D-43B9-88E9-B9235A56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4E"/>
    <w:pPr>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164E"/>
    <w:pPr>
      <w:tabs>
        <w:tab w:val="center" w:pos="4680"/>
        <w:tab w:val="right" w:pos="9360"/>
      </w:tabs>
    </w:pPr>
  </w:style>
  <w:style w:type="character" w:customStyle="1" w:styleId="HeaderChar">
    <w:name w:val="Header Char"/>
    <w:basedOn w:val="DefaultParagraphFont"/>
    <w:link w:val="Header"/>
    <w:uiPriority w:val="99"/>
    <w:rsid w:val="004B164E"/>
  </w:style>
  <w:style w:type="paragraph" w:styleId="Footer">
    <w:name w:val="footer"/>
    <w:basedOn w:val="Normal"/>
    <w:link w:val="FooterChar"/>
    <w:uiPriority w:val="99"/>
    <w:unhideWhenUsed/>
    <w:rsid w:val="004B164E"/>
    <w:pPr>
      <w:tabs>
        <w:tab w:val="center" w:pos="4680"/>
        <w:tab w:val="right" w:pos="9360"/>
      </w:tabs>
    </w:pPr>
  </w:style>
  <w:style w:type="character" w:customStyle="1" w:styleId="FooterChar">
    <w:name w:val="Footer Char"/>
    <w:basedOn w:val="DefaultParagraphFont"/>
    <w:link w:val="Footer"/>
    <w:uiPriority w:val="99"/>
    <w:rsid w:val="004B164E"/>
  </w:style>
  <w:style w:type="paragraph" w:customStyle="1" w:styleId="Default">
    <w:name w:val="Default"/>
    <w:rsid w:val="004B16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B164E"/>
    <w:pPr>
      <w:ind w:left="720"/>
      <w:contextualSpacing/>
    </w:pPr>
  </w:style>
  <w:style w:type="character" w:styleId="Hyperlink">
    <w:name w:val="Hyperlink"/>
    <w:basedOn w:val="DefaultParagraphFont"/>
    <w:rsid w:val="006545B7"/>
    <w:rPr>
      <w:color w:val="0000FF"/>
      <w:u w:val="single"/>
    </w:rPr>
  </w:style>
  <w:style w:type="character" w:styleId="CommentReference">
    <w:name w:val="annotation reference"/>
    <w:basedOn w:val="DefaultParagraphFont"/>
    <w:uiPriority w:val="99"/>
    <w:semiHidden/>
    <w:unhideWhenUsed/>
    <w:rsid w:val="008B50E6"/>
    <w:rPr>
      <w:sz w:val="16"/>
      <w:szCs w:val="16"/>
    </w:rPr>
  </w:style>
  <w:style w:type="paragraph" w:styleId="CommentText">
    <w:name w:val="annotation text"/>
    <w:basedOn w:val="Normal"/>
    <w:link w:val="CommentTextChar"/>
    <w:uiPriority w:val="99"/>
    <w:semiHidden/>
    <w:unhideWhenUsed/>
    <w:rsid w:val="008B50E6"/>
    <w:rPr>
      <w:sz w:val="20"/>
      <w:szCs w:val="20"/>
    </w:rPr>
  </w:style>
  <w:style w:type="character" w:customStyle="1" w:styleId="CommentTextChar">
    <w:name w:val="Comment Text Char"/>
    <w:basedOn w:val="DefaultParagraphFont"/>
    <w:link w:val="CommentText"/>
    <w:uiPriority w:val="99"/>
    <w:semiHidden/>
    <w:rsid w:val="008B50E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B50E6"/>
    <w:rPr>
      <w:b/>
      <w:bCs/>
    </w:rPr>
  </w:style>
  <w:style w:type="character" w:customStyle="1" w:styleId="CommentSubjectChar">
    <w:name w:val="Comment Subject Char"/>
    <w:basedOn w:val="CommentTextChar"/>
    <w:link w:val="CommentSubject"/>
    <w:uiPriority w:val="99"/>
    <w:semiHidden/>
    <w:rsid w:val="008B50E6"/>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22229">
      <w:bodyDiv w:val="1"/>
      <w:marLeft w:val="0"/>
      <w:marRight w:val="0"/>
      <w:marTop w:val="0"/>
      <w:marBottom w:val="0"/>
      <w:divBdr>
        <w:top w:val="none" w:sz="0" w:space="0" w:color="auto"/>
        <w:left w:val="none" w:sz="0" w:space="0" w:color="auto"/>
        <w:bottom w:val="none" w:sz="0" w:space="0" w:color="auto"/>
        <w:right w:val="none" w:sz="0" w:space="0" w:color="auto"/>
      </w:divBdr>
    </w:div>
    <w:div w:id="485364876">
      <w:bodyDiv w:val="1"/>
      <w:marLeft w:val="0"/>
      <w:marRight w:val="0"/>
      <w:marTop w:val="0"/>
      <w:marBottom w:val="0"/>
      <w:divBdr>
        <w:top w:val="none" w:sz="0" w:space="0" w:color="auto"/>
        <w:left w:val="none" w:sz="0" w:space="0" w:color="auto"/>
        <w:bottom w:val="none" w:sz="0" w:space="0" w:color="auto"/>
        <w:right w:val="none" w:sz="0" w:space="0" w:color="auto"/>
      </w:divBdr>
    </w:div>
    <w:div w:id="19407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sa.gov/perdie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q.osd.mil/dpap/UID/guides.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cq.osd.mil/dpap/UID/uid_typ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Props1.xml><?xml version="1.0" encoding="utf-8"?>
<ds:datastoreItem xmlns:ds="http://schemas.openxmlformats.org/officeDocument/2006/customXml" ds:itemID="{C933DED9-3281-47C2-8875-B7102DF5D1B7}"/>
</file>

<file path=customXml/itemProps2.xml><?xml version="1.0" encoding="utf-8"?>
<ds:datastoreItem xmlns:ds="http://schemas.openxmlformats.org/officeDocument/2006/customXml" ds:itemID="{1118C65B-4D2B-4356-8771-DD26FE29212D}"/>
</file>

<file path=customXml/itemProps3.xml><?xml version="1.0" encoding="utf-8"?>
<ds:datastoreItem xmlns:ds="http://schemas.openxmlformats.org/officeDocument/2006/customXml" ds:itemID="{1097A6FE-56EA-448A-B32C-432B9F0DD1A7}"/>
</file>

<file path=docProps/app.xml><?xml version="1.0" encoding="utf-8"?>
<Properties xmlns="http://schemas.openxmlformats.org/officeDocument/2006/extended-properties" xmlns:vt="http://schemas.openxmlformats.org/officeDocument/2006/docPropsVTypes">
  <Template>Normal.dotm</Template>
  <TotalTime>12</TotalTime>
  <Pages>6</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David S CIV USN NAVSUPPACT CRANE IN (USA)</dc:creator>
  <cp:keywords/>
  <dc:description/>
  <cp:lastModifiedBy>Piazza, Thomas J  CTR USSOCOM SOCOM (USA)</cp:lastModifiedBy>
  <cp:revision>12</cp:revision>
  <cp:lastPrinted>2022-01-03T14:24:00Z</cp:lastPrinted>
  <dcterms:created xsi:type="dcterms:W3CDTF">2022-01-03T17:45:00Z</dcterms:created>
  <dcterms:modified xsi:type="dcterms:W3CDTF">2022-01-07T16:28:00Z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