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EC02" w14:textId="77777777" w:rsidR="004B164E" w:rsidRDefault="004B164E" w:rsidP="00C36E29">
      <w:pPr>
        <w:jc w:val="center"/>
        <w:rPr>
          <w:b/>
          <w:caps/>
        </w:rPr>
      </w:pPr>
      <w:r w:rsidRPr="001B10CE">
        <w:rPr>
          <w:b/>
          <w:caps/>
        </w:rPr>
        <w:t>SMA</w:t>
      </w:r>
      <w:r>
        <w:rPr>
          <w:b/>
          <w:caps/>
        </w:rPr>
        <w:t>LL BUSINESS INNOVATION RESEARCH</w:t>
      </w:r>
    </w:p>
    <w:p w14:paraId="355BEB2F" w14:textId="77777777" w:rsidR="004B164E" w:rsidRDefault="004B164E" w:rsidP="00C36E29">
      <w:pPr>
        <w:jc w:val="center"/>
        <w:rPr>
          <w:b/>
          <w:caps/>
        </w:rPr>
      </w:pPr>
    </w:p>
    <w:p w14:paraId="225A377A" w14:textId="02D5F27D" w:rsidR="004B164E" w:rsidRDefault="004B164E" w:rsidP="00C36E29">
      <w:pPr>
        <w:jc w:val="center"/>
        <w:rPr>
          <w:b/>
          <w:caps/>
        </w:rPr>
      </w:pPr>
      <w:r>
        <w:rPr>
          <w:b/>
          <w:caps/>
        </w:rPr>
        <w:t xml:space="preserve">phase ii statement of objectives </w:t>
      </w:r>
    </w:p>
    <w:p w14:paraId="64C45EF4" w14:textId="77777777" w:rsidR="0069526E" w:rsidRDefault="0069526E" w:rsidP="00C36E29">
      <w:pPr>
        <w:jc w:val="center"/>
        <w:rPr>
          <w:b/>
          <w:caps/>
        </w:rPr>
      </w:pPr>
    </w:p>
    <w:p w14:paraId="7A0F0F25" w14:textId="5C7BA3AA" w:rsidR="004B164E" w:rsidRDefault="004B164E" w:rsidP="00C36E29">
      <w:pPr>
        <w:jc w:val="center"/>
        <w:rPr>
          <w:b/>
          <w:caps/>
        </w:rPr>
      </w:pPr>
      <w:r>
        <w:rPr>
          <w:b/>
          <w:caps/>
        </w:rPr>
        <w:t>for</w:t>
      </w:r>
    </w:p>
    <w:p w14:paraId="0E428641" w14:textId="77777777" w:rsidR="0069526E" w:rsidRDefault="0069526E" w:rsidP="00C36E29">
      <w:pPr>
        <w:jc w:val="center"/>
        <w:rPr>
          <w:b/>
          <w:caps/>
        </w:rPr>
      </w:pPr>
    </w:p>
    <w:p w14:paraId="212BBD0E" w14:textId="577DED24" w:rsidR="0069526E" w:rsidRDefault="004B164E" w:rsidP="00C36E29">
      <w:pPr>
        <w:jc w:val="center"/>
        <w:rPr>
          <w:b/>
          <w:caps/>
        </w:rPr>
      </w:pPr>
      <w:r w:rsidRPr="004B164E">
        <w:rPr>
          <w:b/>
          <w:caps/>
        </w:rPr>
        <w:t xml:space="preserve">Ultra-Compact </w:t>
      </w:r>
      <w:r w:rsidR="00C8004A" w:rsidRPr="004B164E">
        <w:rPr>
          <w:b/>
          <w:caps/>
        </w:rPr>
        <w:t>LONG-RANGE MACHINE-GUN</w:t>
      </w:r>
      <w:r w:rsidRPr="004B164E">
        <w:rPr>
          <w:b/>
          <w:caps/>
        </w:rPr>
        <w:t xml:space="preserve"> Optic </w:t>
      </w:r>
    </w:p>
    <w:p w14:paraId="7C9F107A" w14:textId="77777777" w:rsidR="0069526E" w:rsidRDefault="0069526E" w:rsidP="00C36E29">
      <w:pPr>
        <w:jc w:val="center"/>
        <w:rPr>
          <w:b/>
          <w:caps/>
        </w:rPr>
      </w:pPr>
    </w:p>
    <w:p w14:paraId="55615D96" w14:textId="1A5D1014" w:rsidR="004B164E" w:rsidRDefault="00B142AC" w:rsidP="00C36E29">
      <w:pPr>
        <w:jc w:val="center"/>
        <w:rPr>
          <w:b/>
          <w:caps/>
        </w:rPr>
      </w:pPr>
      <w:r w:rsidRPr="0069526E">
        <w:rPr>
          <w:b/>
          <w:caps/>
        </w:rPr>
        <w:t>SOCOM2</w:t>
      </w:r>
      <w:r w:rsidR="0069526E" w:rsidRPr="0069526E">
        <w:rPr>
          <w:b/>
          <w:caps/>
        </w:rPr>
        <w:t>2</w:t>
      </w:r>
      <w:r w:rsidR="00D06381">
        <w:rPr>
          <w:b/>
          <w:caps/>
        </w:rPr>
        <w:t>.</w:t>
      </w:r>
      <w:r w:rsidRPr="0069526E">
        <w:rPr>
          <w:b/>
          <w:caps/>
        </w:rPr>
        <w:t>1-D00</w:t>
      </w:r>
      <w:r w:rsidR="0069526E" w:rsidRPr="0069526E">
        <w:rPr>
          <w:b/>
          <w:caps/>
        </w:rPr>
        <w:t>2</w:t>
      </w:r>
    </w:p>
    <w:p w14:paraId="11995659" w14:textId="77777777" w:rsidR="0069526E" w:rsidRDefault="0069526E" w:rsidP="00C36E29">
      <w:pPr>
        <w:jc w:val="center"/>
        <w:rPr>
          <w:b/>
          <w:caps/>
        </w:rPr>
      </w:pPr>
    </w:p>
    <w:p w14:paraId="13501F5B" w14:textId="5CFE770B" w:rsidR="004B164E" w:rsidRDefault="00896CC0" w:rsidP="00C36E29">
      <w:pPr>
        <w:jc w:val="center"/>
        <w:rPr>
          <w:b/>
          <w:caps/>
        </w:rPr>
      </w:pPr>
      <w:r>
        <w:rPr>
          <w:b/>
          <w:caps/>
        </w:rPr>
        <w:t>13</w:t>
      </w:r>
      <w:r w:rsidR="0069526E">
        <w:rPr>
          <w:b/>
          <w:caps/>
        </w:rPr>
        <w:t xml:space="preserve"> </w:t>
      </w:r>
      <w:r>
        <w:rPr>
          <w:b/>
          <w:caps/>
        </w:rPr>
        <w:t xml:space="preserve">OCTOBER </w:t>
      </w:r>
      <w:r w:rsidR="004B164E">
        <w:rPr>
          <w:b/>
          <w:caps/>
        </w:rPr>
        <w:t>2021</w:t>
      </w:r>
    </w:p>
    <w:p w14:paraId="03CFB410" w14:textId="77777777" w:rsidR="004B164E" w:rsidRDefault="004B164E" w:rsidP="00C36E29">
      <w:pPr>
        <w:jc w:val="both"/>
        <w:rPr>
          <w:b/>
          <w:caps/>
        </w:rPr>
      </w:pPr>
    </w:p>
    <w:p w14:paraId="523B80A9" w14:textId="77777777" w:rsidR="004B164E" w:rsidRPr="004B164E" w:rsidRDefault="004B164E" w:rsidP="00C36E29">
      <w:pPr>
        <w:jc w:val="both"/>
        <w:rPr>
          <w:sz w:val="22"/>
          <w:szCs w:val="22"/>
        </w:rPr>
      </w:pPr>
      <w:r w:rsidRPr="004B164E">
        <w:rPr>
          <w:sz w:val="22"/>
          <w:szCs w:val="22"/>
        </w:rPr>
        <w:t>I.</w:t>
      </w:r>
      <w:r w:rsidRPr="004B164E">
        <w:rPr>
          <w:b/>
          <w:sz w:val="22"/>
          <w:szCs w:val="22"/>
        </w:rPr>
        <w:t xml:space="preserve">  INTERNATIONAL TRAFFIC AND ARMS REGULATION:</w:t>
      </w:r>
      <w:r w:rsidRPr="004B164E">
        <w:rPr>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r w:rsidR="00110C13">
        <w:rPr>
          <w:sz w:val="22"/>
          <w:szCs w:val="22"/>
        </w:rPr>
        <w:t xml:space="preserve"> </w:t>
      </w:r>
      <w:r w:rsidRPr="004B164E">
        <w:rPr>
          <w:sz w:val="22"/>
          <w:szCs w:val="22"/>
        </w:rPr>
        <w:t>Additionally, Offerors will describe compliance mechanisms offerors have in place or will put in place to address any ITAR issues that arise during the course of agreement administration.</w:t>
      </w:r>
    </w:p>
    <w:p w14:paraId="4FC3ABBC" w14:textId="77777777" w:rsidR="004B164E" w:rsidRPr="00B142AC" w:rsidRDefault="004B164E" w:rsidP="00C36E29">
      <w:pPr>
        <w:pStyle w:val="Default"/>
        <w:jc w:val="both"/>
        <w:rPr>
          <w:rFonts w:ascii="Arial" w:hAnsi="Arial" w:cs="Arial"/>
          <w:sz w:val="22"/>
          <w:szCs w:val="22"/>
        </w:rPr>
      </w:pPr>
      <w:r>
        <w:rPr>
          <w:rFonts w:ascii="Arial" w:hAnsi="Arial" w:cs="Arial"/>
          <w:i/>
          <w:sz w:val="22"/>
          <w:szCs w:val="22"/>
        </w:rPr>
        <w:t xml:space="preserve"> </w:t>
      </w:r>
    </w:p>
    <w:p w14:paraId="20A02B0F" w14:textId="77777777" w:rsidR="004B164E" w:rsidRDefault="004B164E" w:rsidP="00C36E29">
      <w:pPr>
        <w:jc w:val="both"/>
        <w:rPr>
          <w:sz w:val="22"/>
          <w:szCs w:val="22"/>
        </w:rPr>
      </w:pPr>
      <w:r w:rsidRPr="00F17DAF">
        <w:rPr>
          <w:sz w:val="22"/>
          <w:szCs w:val="22"/>
        </w:rPr>
        <w:t>II.</w:t>
      </w:r>
      <w:r>
        <w:rPr>
          <w:b/>
          <w:sz w:val="22"/>
          <w:szCs w:val="22"/>
        </w:rPr>
        <w:t xml:space="preserve">  </w:t>
      </w:r>
      <w:r w:rsidRPr="00B24A63">
        <w:rPr>
          <w:b/>
          <w:sz w:val="22"/>
          <w:szCs w:val="22"/>
        </w:rPr>
        <w:t>BACKGROUND</w:t>
      </w:r>
      <w:r w:rsidRPr="00B24A63">
        <w:rPr>
          <w:sz w:val="22"/>
          <w:szCs w:val="22"/>
        </w:rPr>
        <w:t>:</w:t>
      </w:r>
      <w:r>
        <w:rPr>
          <w:sz w:val="22"/>
          <w:szCs w:val="22"/>
        </w:rPr>
        <w:t xml:space="preserve"> </w:t>
      </w:r>
    </w:p>
    <w:p w14:paraId="3BA0972C" w14:textId="77777777" w:rsidR="004B164E" w:rsidRDefault="004B164E" w:rsidP="00C36E29">
      <w:pPr>
        <w:jc w:val="both"/>
        <w:rPr>
          <w:b/>
          <w:caps/>
        </w:rPr>
      </w:pPr>
    </w:p>
    <w:p w14:paraId="1AD439B8" w14:textId="24376073" w:rsidR="005A7AC6" w:rsidRPr="009F5D7E" w:rsidRDefault="004B164E" w:rsidP="00C36E29">
      <w:pPr>
        <w:jc w:val="both"/>
        <w:rPr>
          <w:sz w:val="22"/>
          <w:szCs w:val="22"/>
        </w:rPr>
      </w:pPr>
      <w:r w:rsidRPr="009F5D7E">
        <w:rPr>
          <w:sz w:val="22"/>
          <w:szCs w:val="22"/>
        </w:rPr>
        <w:t xml:space="preserve">With the advent of highly accurate and long range lightweight medium machine guns (LWMMG) weapon systems as well as the existing family of machine guns, a direct view sighting system is required to allow the operator to detect and engage targets at the effective range of those weapons.  Existing direct view </w:t>
      </w:r>
      <w:r w:rsidR="00941B7B" w:rsidRPr="00E95E48">
        <w:rPr>
          <w:sz w:val="22"/>
          <w:szCs w:val="22"/>
        </w:rPr>
        <w:t>Machine Gun Optic</w:t>
      </w:r>
      <w:r w:rsidR="00941B7B" w:rsidRPr="009F5D7E">
        <w:rPr>
          <w:sz w:val="22"/>
          <w:szCs w:val="22"/>
        </w:rPr>
        <w:t xml:space="preserve"> </w:t>
      </w:r>
      <w:r w:rsidR="00941B7B">
        <w:rPr>
          <w:sz w:val="22"/>
          <w:szCs w:val="22"/>
        </w:rPr>
        <w:t>(</w:t>
      </w:r>
      <w:r w:rsidRPr="009F5D7E">
        <w:rPr>
          <w:sz w:val="22"/>
          <w:szCs w:val="22"/>
        </w:rPr>
        <w:t>MGOs</w:t>
      </w:r>
      <w:r w:rsidR="00941B7B">
        <w:rPr>
          <w:sz w:val="22"/>
          <w:szCs w:val="22"/>
        </w:rPr>
        <w:t>)</w:t>
      </w:r>
      <w:r w:rsidRPr="009F5D7E">
        <w:rPr>
          <w:sz w:val="22"/>
          <w:szCs w:val="22"/>
        </w:rPr>
        <w:t xml:space="preserve">, while compact, provide limited overmatch as they do not have adequate magnification to detect and engage targets at the standoff distances of all enemy weapons.  Due to the limited mounting space, a very specific and ultra-compact direct view </w:t>
      </w:r>
      <w:r w:rsidR="00E95E48" w:rsidRPr="00E95E48">
        <w:rPr>
          <w:sz w:val="22"/>
          <w:szCs w:val="22"/>
        </w:rPr>
        <w:t>Machine Gun Optic</w:t>
      </w:r>
      <w:r w:rsidR="00E95E48" w:rsidRPr="009F5D7E">
        <w:rPr>
          <w:sz w:val="22"/>
          <w:szCs w:val="22"/>
        </w:rPr>
        <w:t xml:space="preserve"> </w:t>
      </w:r>
      <w:r w:rsidRPr="009F5D7E">
        <w:rPr>
          <w:sz w:val="22"/>
          <w:szCs w:val="22"/>
        </w:rPr>
        <w:t xml:space="preserve">is required that </w:t>
      </w:r>
      <w:r w:rsidR="00110C13">
        <w:rPr>
          <w:sz w:val="22"/>
          <w:szCs w:val="22"/>
        </w:rPr>
        <w:t>i</w:t>
      </w:r>
      <w:r w:rsidRPr="009F5D7E">
        <w:rPr>
          <w:sz w:val="22"/>
          <w:szCs w:val="22"/>
        </w:rPr>
        <w:t>s very short to properly mount and interface with the</w:t>
      </w:r>
      <w:r w:rsidR="00E45229">
        <w:rPr>
          <w:sz w:val="22"/>
          <w:szCs w:val="22"/>
        </w:rPr>
        <w:t>se LWMMG</w:t>
      </w:r>
      <w:r w:rsidRPr="009F5D7E">
        <w:rPr>
          <w:sz w:val="22"/>
          <w:szCs w:val="22"/>
        </w:rPr>
        <w:t xml:space="preserve"> weapons.</w:t>
      </w:r>
    </w:p>
    <w:p w14:paraId="5AB70D4D" w14:textId="77777777" w:rsidR="004B164E" w:rsidRDefault="004B164E" w:rsidP="00C36E29">
      <w:pPr>
        <w:jc w:val="both"/>
      </w:pPr>
    </w:p>
    <w:p w14:paraId="3B862B6C" w14:textId="77777777" w:rsidR="004B164E" w:rsidRDefault="004B164E" w:rsidP="00C36E29">
      <w:pPr>
        <w:jc w:val="both"/>
        <w:rPr>
          <w:sz w:val="22"/>
          <w:szCs w:val="22"/>
        </w:rPr>
      </w:pPr>
      <w:r w:rsidRPr="004B164E">
        <w:rPr>
          <w:sz w:val="22"/>
          <w:szCs w:val="22"/>
        </w:rPr>
        <w:t xml:space="preserve">III.  </w:t>
      </w:r>
      <w:r w:rsidRPr="004B164E">
        <w:rPr>
          <w:b/>
          <w:sz w:val="22"/>
          <w:szCs w:val="22"/>
        </w:rPr>
        <w:t>OVERALL OBJECTIVE:</w:t>
      </w:r>
    </w:p>
    <w:p w14:paraId="253CB005" w14:textId="77777777" w:rsidR="004B164E" w:rsidRDefault="004B164E" w:rsidP="00C36E29">
      <w:pPr>
        <w:jc w:val="both"/>
        <w:rPr>
          <w:sz w:val="22"/>
          <w:szCs w:val="22"/>
        </w:rPr>
      </w:pPr>
    </w:p>
    <w:p w14:paraId="243964DE" w14:textId="77777777" w:rsidR="004B164E" w:rsidRDefault="004B164E" w:rsidP="00C36E29">
      <w:pPr>
        <w:jc w:val="both"/>
        <w:rPr>
          <w:sz w:val="22"/>
          <w:szCs w:val="22"/>
        </w:rPr>
      </w:pPr>
      <w:r>
        <w:rPr>
          <w:sz w:val="22"/>
          <w:szCs w:val="22"/>
        </w:rPr>
        <w:t>The objective of this Statement of Objectives</w:t>
      </w:r>
      <w:r w:rsidR="00110C13">
        <w:rPr>
          <w:sz w:val="22"/>
          <w:szCs w:val="22"/>
        </w:rPr>
        <w:t xml:space="preserve"> (SOO)</w:t>
      </w:r>
      <w:r>
        <w:rPr>
          <w:sz w:val="22"/>
          <w:szCs w:val="22"/>
        </w:rPr>
        <w:t xml:space="preserve"> is to develop </w:t>
      </w:r>
      <w:r w:rsidRPr="004B164E">
        <w:rPr>
          <w:sz w:val="22"/>
          <w:szCs w:val="22"/>
        </w:rPr>
        <w:t xml:space="preserve">applied research toward an innovative capability to allow operators to detect and engage targets for 0-2000 meters and beyond in day-night mounted and dismounted machine gun engagements.  </w:t>
      </w:r>
    </w:p>
    <w:p w14:paraId="48DF6334" w14:textId="77777777" w:rsidR="004B164E" w:rsidRDefault="004B164E" w:rsidP="00C36E29">
      <w:pPr>
        <w:jc w:val="both"/>
        <w:rPr>
          <w:sz w:val="22"/>
          <w:szCs w:val="22"/>
        </w:rPr>
      </w:pPr>
    </w:p>
    <w:p w14:paraId="3CED9177" w14:textId="77777777" w:rsidR="004B164E" w:rsidRDefault="004B164E" w:rsidP="00C36E29">
      <w:pPr>
        <w:jc w:val="both"/>
        <w:rPr>
          <w:sz w:val="22"/>
          <w:szCs w:val="22"/>
        </w:rPr>
      </w:pPr>
      <w:r>
        <w:rPr>
          <w:sz w:val="22"/>
          <w:szCs w:val="22"/>
        </w:rPr>
        <w:t xml:space="preserve">IV.  </w:t>
      </w:r>
      <w:r w:rsidRPr="004B164E">
        <w:rPr>
          <w:b/>
          <w:sz w:val="22"/>
          <w:szCs w:val="22"/>
        </w:rPr>
        <w:t>REQUIREMENTS</w:t>
      </w:r>
      <w:r>
        <w:rPr>
          <w:b/>
          <w:sz w:val="22"/>
          <w:szCs w:val="22"/>
        </w:rPr>
        <w:t>:</w:t>
      </w:r>
    </w:p>
    <w:p w14:paraId="00F25854" w14:textId="77777777" w:rsidR="004B164E" w:rsidRDefault="004B164E" w:rsidP="00C36E29">
      <w:pPr>
        <w:jc w:val="both"/>
        <w:rPr>
          <w:sz w:val="22"/>
          <w:szCs w:val="22"/>
        </w:rPr>
      </w:pPr>
    </w:p>
    <w:p w14:paraId="6C3336AD" w14:textId="49DB36BF" w:rsidR="006545B7" w:rsidRDefault="004B164E" w:rsidP="00C36E29">
      <w:pPr>
        <w:pStyle w:val="ListParagraph"/>
        <w:numPr>
          <w:ilvl w:val="0"/>
          <w:numId w:val="1"/>
        </w:numPr>
        <w:jc w:val="both"/>
        <w:rPr>
          <w:sz w:val="22"/>
          <w:szCs w:val="22"/>
        </w:rPr>
      </w:pPr>
      <w:r w:rsidRPr="004B164E">
        <w:rPr>
          <w:b/>
          <w:sz w:val="22"/>
          <w:szCs w:val="22"/>
        </w:rPr>
        <w:t xml:space="preserve">General:  </w:t>
      </w:r>
      <w:r>
        <w:rPr>
          <w:sz w:val="22"/>
          <w:szCs w:val="22"/>
        </w:rPr>
        <w:t>The contractor shall d</w:t>
      </w:r>
      <w:r w:rsidRPr="004B164E">
        <w:rPr>
          <w:sz w:val="22"/>
          <w:szCs w:val="22"/>
        </w:rPr>
        <w:t xml:space="preserve">emonstrate and deliver </w:t>
      </w:r>
      <w:r w:rsidR="00E45229">
        <w:rPr>
          <w:sz w:val="22"/>
          <w:szCs w:val="22"/>
        </w:rPr>
        <w:t>twelve (</w:t>
      </w:r>
      <w:r w:rsidRPr="004B164E">
        <w:rPr>
          <w:sz w:val="22"/>
          <w:szCs w:val="22"/>
        </w:rPr>
        <w:t>12</w:t>
      </w:r>
      <w:r w:rsidR="00E45229">
        <w:rPr>
          <w:sz w:val="22"/>
          <w:szCs w:val="22"/>
        </w:rPr>
        <w:t>)</w:t>
      </w:r>
      <w:r w:rsidRPr="004B164E">
        <w:rPr>
          <w:sz w:val="22"/>
          <w:szCs w:val="22"/>
        </w:rPr>
        <w:t xml:space="preserve"> prototype </w:t>
      </w:r>
      <w:r w:rsidR="00E95E48" w:rsidRPr="00E95E48">
        <w:rPr>
          <w:sz w:val="22"/>
          <w:szCs w:val="22"/>
        </w:rPr>
        <w:t xml:space="preserve">Ultra-Compact </w:t>
      </w:r>
      <w:r w:rsidR="00C8004A" w:rsidRPr="00E95E48">
        <w:rPr>
          <w:sz w:val="22"/>
          <w:szCs w:val="22"/>
        </w:rPr>
        <w:t>L</w:t>
      </w:r>
      <w:r w:rsidR="006C6A32">
        <w:rPr>
          <w:sz w:val="22"/>
          <w:szCs w:val="22"/>
        </w:rPr>
        <w:t>ong</w:t>
      </w:r>
      <w:r w:rsidR="00C8004A" w:rsidRPr="00E95E48">
        <w:rPr>
          <w:sz w:val="22"/>
          <w:szCs w:val="22"/>
        </w:rPr>
        <w:t>-R</w:t>
      </w:r>
      <w:r w:rsidR="006C6A32">
        <w:rPr>
          <w:sz w:val="22"/>
          <w:szCs w:val="22"/>
        </w:rPr>
        <w:t>ange</w:t>
      </w:r>
      <w:r w:rsidR="00C8004A" w:rsidRPr="00E95E48">
        <w:rPr>
          <w:sz w:val="22"/>
          <w:szCs w:val="22"/>
        </w:rPr>
        <w:t xml:space="preserve"> M</w:t>
      </w:r>
      <w:r w:rsidR="006C6A32">
        <w:rPr>
          <w:sz w:val="22"/>
          <w:szCs w:val="22"/>
        </w:rPr>
        <w:t>achine</w:t>
      </w:r>
      <w:r w:rsidR="00C8004A" w:rsidRPr="00E95E48">
        <w:rPr>
          <w:sz w:val="22"/>
          <w:szCs w:val="22"/>
        </w:rPr>
        <w:t>-G</w:t>
      </w:r>
      <w:r w:rsidR="006C6A32">
        <w:rPr>
          <w:sz w:val="22"/>
          <w:szCs w:val="22"/>
        </w:rPr>
        <w:t>un</w:t>
      </w:r>
      <w:r w:rsidR="00E95E48" w:rsidRPr="00E95E48">
        <w:rPr>
          <w:sz w:val="22"/>
          <w:szCs w:val="22"/>
        </w:rPr>
        <w:t xml:space="preserve"> Optic</w:t>
      </w:r>
      <w:r w:rsidR="00E95E48" w:rsidRPr="004B164E">
        <w:rPr>
          <w:sz w:val="22"/>
          <w:szCs w:val="22"/>
        </w:rPr>
        <w:t xml:space="preserve"> </w:t>
      </w:r>
      <w:r w:rsidR="00E95E48">
        <w:rPr>
          <w:sz w:val="22"/>
          <w:szCs w:val="22"/>
        </w:rPr>
        <w:t>(</w:t>
      </w:r>
      <w:r w:rsidRPr="004B164E">
        <w:rPr>
          <w:sz w:val="22"/>
          <w:szCs w:val="22"/>
        </w:rPr>
        <w:t>UCLR-MGO</w:t>
      </w:r>
      <w:r w:rsidR="00E95E48">
        <w:rPr>
          <w:sz w:val="22"/>
          <w:szCs w:val="22"/>
        </w:rPr>
        <w:t>)</w:t>
      </w:r>
      <w:r w:rsidRPr="004B164E">
        <w:rPr>
          <w:sz w:val="22"/>
          <w:szCs w:val="22"/>
        </w:rPr>
        <w:t xml:space="preserve"> units that will allow operators to detect and engage targets for 0-2000 meters and beyond in day-night mounted and dismounted machine gun engagements.  The intent of this optic is to provide a compact direct view optic to the operator that will not interfere with the operation of the machinegun, which includes </w:t>
      </w:r>
      <w:r w:rsidR="00110C13">
        <w:rPr>
          <w:sz w:val="22"/>
          <w:szCs w:val="22"/>
        </w:rPr>
        <w:t xml:space="preserve">opening the feed tray covers for </w:t>
      </w:r>
      <w:r w:rsidRPr="004B164E">
        <w:rPr>
          <w:sz w:val="22"/>
          <w:szCs w:val="22"/>
        </w:rPr>
        <w:t>immediate and remedial corrective actions. This capability shall meet the requirements in the description below.</w:t>
      </w:r>
    </w:p>
    <w:p w14:paraId="03C5727B" w14:textId="77777777" w:rsidR="006545B7" w:rsidRPr="006545B7" w:rsidRDefault="006545B7" w:rsidP="00C36E29">
      <w:pPr>
        <w:pStyle w:val="ListParagraph"/>
        <w:ind w:left="1080"/>
        <w:jc w:val="both"/>
        <w:rPr>
          <w:sz w:val="22"/>
          <w:szCs w:val="22"/>
        </w:rPr>
      </w:pPr>
    </w:p>
    <w:p w14:paraId="48C5796D" w14:textId="77777777" w:rsidR="004B164E" w:rsidRDefault="006545B7" w:rsidP="00C36E29">
      <w:pPr>
        <w:pStyle w:val="ListParagraph"/>
        <w:numPr>
          <w:ilvl w:val="1"/>
          <w:numId w:val="1"/>
        </w:numPr>
        <w:jc w:val="both"/>
        <w:rPr>
          <w:sz w:val="22"/>
          <w:szCs w:val="22"/>
        </w:rPr>
      </w:pPr>
      <w:r>
        <w:rPr>
          <w:b/>
          <w:sz w:val="22"/>
          <w:szCs w:val="22"/>
        </w:rPr>
        <w:lastRenderedPageBreak/>
        <w:t>Detailed Requirements:</w:t>
      </w:r>
      <w:r>
        <w:rPr>
          <w:sz w:val="22"/>
          <w:szCs w:val="22"/>
        </w:rPr>
        <w:t xml:space="preserve">  The Contractor shall design, develop, fabricate, test, demonstrate, and deliver the </w:t>
      </w:r>
      <w:r w:rsidR="006F1EF3">
        <w:rPr>
          <w:sz w:val="22"/>
          <w:szCs w:val="22"/>
        </w:rPr>
        <w:t>twelve (</w:t>
      </w:r>
      <w:r>
        <w:rPr>
          <w:sz w:val="22"/>
          <w:szCs w:val="22"/>
        </w:rPr>
        <w:t>12</w:t>
      </w:r>
      <w:r w:rsidR="006F1EF3">
        <w:rPr>
          <w:sz w:val="22"/>
          <w:szCs w:val="22"/>
        </w:rPr>
        <w:t>)</w:t>
      </w:r>
      <w:r>
        <w:rPr>
          <w:sz w:val="22"/>
          <w:szCs w:val="22"/>
        </w:rPr>
        <w:t xml:space="preserve"> prototype UCLR-MGO units the mee</w:t>
      </w:r>
      <w:r w:rsidR="00110C13">
        <w:rPr>
          <w:sz w:val="22"/>
          <w:szCs w:val="22"/>
        </w:rPr>
        <w:t>t</w:t>
      </w:r>
      <w:r>
        <w:rPr>
          <w:sz w:val="22"/>
          <w:szCs w:val="22"/>
        </w:rPr>
        <w:t xml:space="preserve"> the following performance requirements.</w:t>
      </w:r>
    </w:p>
    <w:p w14:paraId="5AD032E6" w14:textId="77777777" w:rsidR="006545B7" w:rsidRDefault="006545B7" w:rsidP="00C36E29">
      <w:pPr>
        <w:pStyle w:val="ListParagraph"/>
        <w:ind w:left="1800"/>
        <w:jc w:val="both"/>
        <w:rPr>
          <w:sz w:val="22"/>
          <w:szCs w:val="22"/>
        </w:rPr>
      </w:pPr>
    </w:p>
    <w:p w14:paraId="003D7567" w14:textId="77777777" w:rsidR="006545B7" w:rsidRPr="00110C13" w:rsidRDefault="006545B7" w:rsidP="00C36E29">
      <w:pPr>
        <w:pStyle w:val="ListParagraph"/>
        <w:numPr>
          <w:ilvl w:val="2"/>
          <w:numId w:val="1"/>
        </w:numPr>
        <w:ind w:left="1440" w:hanging="360"/>
        <w:jc w:val="both"/>
        <w:rPr>
          <w:sz w:val="22"/>
          <w:szCs w:val="22"/>
        </w:rPr>
      </w:pPr>
      <w:r w:rsidRPr="00110C13">
        <w:rPr>
          <w:sz w:val="22"/>
          <w:szCs w:val="22"/>
        </w:rPr>
        <w:t>Ultra-compact first focal plane (FFP) direct view optic (DVO) that provides at least a 10x optically magnified image as well a continuous magnified image down through and to a 1x magnified image in less than ¾ of a revolution</w:t>
      </w:r>
      <w:r w:rsidR="00E45229">
        <w:rPr>
          <w:sz w:val="22"/>
          <w:szCs w:val="22"/>
        </w:rPr>
        <w:t>/rotation</w:t>
      </w:r>
      <w:r w:rsidRPr="00110C13">
        <w:rPr>
          <w:sz w:val="22"/>
          <w:szCs w:val="22"/>
        </w:rPr>
        <w:t>.</w:t>
      </w:r>
    </w:p>
    <w:p w14:paraId="50CDADB5" w14:textId="77777777" w:rsidR="006545B7" w:rsidRPr="00110C13" w:rsidRDefault="006545B7" w:rsidP="00C36E29">
      <w:pPr>
        <w:pStyle w:val="ListParagraph"/>
        <w:numPr>
          <w:ilvl w:val="2"/>
          <w:numId w:val="1"/>
        </w:numPr>
        <w:ind w:left="1440" w:hanging="360"/>
        <w:jc w:val="both"/>
        <w:rPr>
          <w:sz w:val="22"/>
          <w:szCs w:val="22"/>
        </w:rPr>
      </w:pPr>
      <w:r w:rsidRPr="00110C13">
        <w:rPr>
          <w:sz w:val="22"/>
          <w:szCs w:val="22"/>
        </w:rPr>
        <w:t>Shall be less than 8.5 inches in length</w:t>
      </w:r>
      <w:r w:rsidR="00E45229">
        <w:rPr>
          <w:sz w:val="22"/>
          <w:szCs w:val="22"/>
        </w:rPr>
        <w:t>.</w:t>
      </w:r>
    </w:p>
    <w:p w14:paraId="7D8DE8EB" w14:textId="77777777" w:rsidR="006545B7" w:rsidRPr="00110C13" w:rsidRDefault="006545B7" w:rsidP="00C36E29">
      <w:pPr>
        <w:pStyle w:val="ListParagraph"/>
        <w:numPr>
          <w:ilvl w:val="2"/>
          <w:numId w:val="1"/>
        </w:numPr>
        <w:ind w:left="1440" w:hanging="360"/>
        <w:jc w:val="both"/>
        <w:rPr>
          <w:sz w:val="22"/>
          <w:szCs w:val="22"/>
        </w:rPr>
      </w:pPr>
      <w:r w:rsidRPr="00110C13">
        <w:rPr>
          <w:sz w:val="22"/>
          <w:szCs w:val="22"/>
        </w:rPr>
        <w:t>Shall weigh no more than 20 ounces.</w:t>
      </w:r>
    </w:p>
    <w:p w14:paraId="482D8ABD" w14:textId="77777777" w:rsidR="00110C13" w:rsidRPr="00110C13" w:rsidRDefault="006545B7" w:rsidP="00C36E29">
      <w:pPr>
        <w:pStyle w:val="ListParagraph"/>
        <w:numPr>
          <w:ilvl w:val="2"/>
          <w:numId w:val="1"/>
        </w:numPr>
        <w:ind w:left="1440" w:hanging="360"/>
        <w:jc w:val="both"/>
        <w:rPr>
          <w:sz w:val="22"/>
          <w:szCs w:val="22"/>
        </w:rPr>
      </w:pPr>
      <w:r w:rsidRPr="00110C13">
        <w:rPr>
          <w:rFonts w:eastAsiaTheme="minorHAnsi"/>
          <w:sz w:val="22"/>
          <w:szCs w:val="22"/>
        </w:rPr>
        <w:t>Shall attach to a MIL-STD-1913 rail, by clampi</w:t>
      </w:r>
      <w:r w:rsidR="00110C13">
        <w:rPr>
          <w:rFonts w:eastAsiaTheme="minorHAnsi"/>
          <w:sz w:val="22"/>
          <w:szCs w:val="22"/>
        </w:rPr>
        <w:t>ng on four 45 degree surfaces.</w:t>
      </w:r>
    </w:p>
    <w:p w14:paraId="163048CF" w14:textId="77777777" w:rsidR="006545B7" w:rsidRPr="00110C13" w:rsidRDefault="006545B7" w:rsidP="00C36E29">
      <w:pPr>
        <w:pStyle w:val="ListParagraph"/>
        <w:numPr>
          <w:ilvl w:val="2"/>
          <w:numId w:val="1"/>
        </w:numPr>
        <w:ind w:left="1440" w:hanging="360"/>
        <w:jc w:val="both"/>
        <w:rPr>
          <w:sz w:val="22"/>
          <w:szCs w:val="22"/>
        </w:rPr>
      </w:pPr>
      <w:r w:rsidRPr="00110C13">
        <w:rPr>
          <w:rFonts w:eastAsiaTheme="minorHAnsi"/>
          <w:sz w:val="22"/>
          <w:szCs w:val="22"/>
        </w:rPr>
        <w:t xml:space="preserve">Shall be clamped in place by </w:t>
      </w:r>
      <w:r w:rsidR="00110C13">
        <w:rPr>
          <w:rFonts w:eastAsiaTheme="minorHAnsi"/>
          <w:sz w:val="22"/>
          <w:szCs w:val="22"/>
        </w:rPr>
        <w:t xml:space="preserve">½ inch </w:t>
      </w:r>
      <w:r w:rsidRPr="00110C13">
        <w:rPr>
          <w:rFonts w:eastAsiaTheme="minorHAnsi"/>
          <w:sz w:val="22"/>
          <w:szCs w:val="22"/>
        </w:rPr>
        <w:t xml:space="preserve">bolt and </w:t>
      </w:r>
      <w:r w:rsidR="00110C13">
        <w:rPr>
          <w:rFonts w:eastAsiaTheme="minorHAnsi"/>
          <w:sz w:val="22"/>
          <w:szCs w:val="22"/>
        </w:rPr>
        <w:t>nut that is tightened by wrench.</w:t>
      </w:r>
    </w:p>
    <w:p w14:paraId="5565E000" w14:textId="77777777" w:rsidR="006545B7" w:rsidRPr="00110C13" w:rsidRDefault="006545B7" w:rsidP="00C36E29">
      <w:pPr>
        <w:pStyle w:val="ListParagraph"/>
        <w:numPr>
          <w:ilvl w:val="2"/>
          <w:numId w:val="1"/>
        </w:numPr>
        <w:ind w:left="1440" w:hanging="360"/>
        <w:jc w:val="both"/>
        <w:rPr>
          <w:sz w:val="22"/>
          <w:szCs w:val="22"/>
        </w:rPr>
      </w:pPr>
      <w:r w:rsidRPr="00110C13">
        <w:rPr>
          <w:rFonts w:eastAsiaTheme="minorHAnsi"/>
          <w:sz w:val="22"/>
          <w:szCs w:val="22"/>
        </w:rPr>
        <w:t xml:space="preserve">Shall include a reticle with an illuminated aim-point and milliradian markings.  </w:t>
      </w:r>
      <w:r w:rsidRPr="00110C13">
        <w:rPr>
          <w:sz w:val="22"/>
          <w:szCs w:val="22"/>
        </w:rPr>
        <w:t xml:space="preserve">The illuminated aiming point shall be visible during daylight conditions with </w:t>
      </w:r>
      <w:r w:rsidR="006F1EF3">
        <w:rPr>
          <w:sz w:val="22"/>
          <w:szCs w:val="22"/>
        </w:rPr>
        <w:t xml:space="preserve">a </w:t>
      </w:r>
      <w:r w:rsidRPr="00110C13">
        <w:rPr>
          <w:sz w:val="22"/>
          <w:szCs w:val="22"/>
        </w:rPr>
        <w:t>graduated reticle.</w:t>
      </w:r>
    </w:p>
    <w:p w14:paraId="404F3FAF" w14:textId="77777777" w:rsidR="006545B7" w:rsidRPr="00110C13" w:rsidRDefault="006545B7" w:rsidP="00C36E29">
      <w:pPr>
        <w:pStyle w:val="ListParagraph"/>
        <w:numPr>
          <w:ilvl w:val="2"/>
          <w:numId w:val="1"/>
        </w:numPr>
        <w:ind w:left="1440" w:hanging="360"/>
        <w:jc w:val="both"/>
        <w:rPr>
          <w:sz w:val="22"/>
          <w:szCs w:val="22"/>
        </w:rPr>
      </w:pPr>
      <w:r w:rsidRPr="00110C13">
        <w:rPr>
          <w:rFonts w:eastAsiaTheme="minorHAnsi"/>
          <w:sz w:val="22"/>
          <w:szCs w:val="22"/>
        </w:rPr>
        <w:t>Shall have</w:t>
      </w:r>
      <w:r w:rsidR="00110C13">
        <w:rPr>
          <w:rFonts w:eastAsiaTheme="minorHAnsi"/>
          <w:sz w:val="22"/>
          <w:szCs w:val="22"/>
        </w:rPr>
        <w:t xml:space="preserve"> audible and</w:t>
      </w:r>
      <w:r w:rsidRPr="00110C13">
        <w:rPr>
          <w:rFonts w:eastAsiaTheme="minorHAnsi"/>
          <w:sz w:val="22"/>
          <w:szCs w:val="22"/>
        </w:rPr>
        <w:t xml:space="preserve"> tactile Windage and Elevation adjustments that are repeatable and able to be zeroed.</w:t>
      </w:r>
    </w:p>
    <w:p w14:paraId="3B4AF4B1" w14:textId="77777777" w:rsidR="006545B7" w:rsidRPr="00110C13" w:rsidRDefault="006545B7" w:rsidP="00C36E29">
      <w:pPr>
        <w:pStyle w:val="ListParagraph"/>
        <w:numPr>
          <w:ilvl w:val="2"/>
          <w:numId w:val="1"/>
        </w:numPr>
        <w:ind w:left="1440" w:hanging="360"/>
        <w:jc w:val="both"/>
        <w:rPr>
          <w:sz w:val="22"/>
          <w:szCs w:val="22"/>
        </w:rPr>
      </w:pPr>
      <w:r w:rsidRPr="00110C13">
        <w:rPr>
          <w:color w:val="000000"/>
          <w:sz w:val="22"/>
          <w:szCs w:val="22"/>
        </w:rPr>
        <w:t xml:space="preserve">The MGO shall interoperate with </w:t>
      </w:r>
      <w:r w:rsidR="006F1EF3">
        <w:rPr>
          <w:color w:val="000000"/>
          <w:sz w:val="22"/>
          <w:szCs w:val="22"/>
        </w:rPr>
        <w:t>Special Operations Command (</w:t>
      </w:r>
      <w:r w:rsidRPr="00110C13">
        <w:rPr>
          <w:color w:val="000000"/>
          <w:sz w:val="22"/>
          <w:szCs w:val="22"/>
        </w:rPr>
        <w:t>SOCOM</w:t>
      </w:r>
      <w:r w:rsidR="006F1EF3">
        <w:rPr>
          <w:color w:val="000000"/>
          <w:sz w:val="22"/>
          <w:szCs w:val="22"/>
        </w:rPr>
        <w:t>) Special Operations Forces</w:t>
      </w:r>
      <w:r w:rsidRPr="00110C13">
        <w:rPr>
          <w:color w:val="000000"/>
          <w:sz w:val="22"/>
          <w:szCs w:val="22"/>
        </w:rPr>
        <w:t xml:space="preserve"> </w:t>
      </w:r>
      <w:r w:rsidR="006F1EF3">
        <w:rPr>
          <w:color w:val="000000"/>
          <w:sz w:val="22"/>
          <w:szCs w:val="22"/>
        </w:rPr>
        <w:t>(</w:t>
      </w:r>
      <w:r w:rsidRPr="00110C13">
        <w:rPr>
          <w:color w:val="000000"/>
          <w:sz w:val="22"/>
          <w:szCs w:val="22"/>
        </w:rPr>
        <w:t>SOF</w:t>
      </w:r>
      <w:r w:rsidR="006F1EF3">
        <w:rPr>
          <w:color w:val="000000"/>
          <w:sz w:val="22"/>
          <w:szCs w:val="22"/>
        </w:rPr>
        <w:t>)</w:t>
      </w:r>
      <w:r w:rsidRPr="00110C13">
        <w:rPr>
          <w:color w:val="000000"/>
          <w:sz w:val="22"/>
          <w:szCs w:val="22"/>
        </w:rPr>
        <w:t xml:space="preserve"> medium and heavy machine guns and should interoperate with current SOCOM laser range finders </w:t>
      </w:r>
      <w:r w:rsidR="006F1EF3">
        <w:rPr>
          <w:color w:val="000000"/>
          <w:sz w:val="22"/>
          <w:szCs w:val="22"/>
        </w:rPr>
        <w:t xml:space="preserve">(LRF) </w:t>
      </w:r>
      <w:r w:rsidRPr="00110C13">
        <w:rPr>
          <w:color w:val="000000"/>
          <w:sz w:val="22"/>
          <w:szCs w:val="22"/>
        </w:rPr>
        <w:t>and clip-on multiband sensors.</w:t>
      </w:r>
    </w:p>
    <w:p w14:paraId="4599F527" w14:textId="77777777" w:rsidR="006545B7" w:rsidRPr="00110C13" w:rsidRDefault="006545B7" w:rsidP="00C36E29">
      <w:pPr>
        <w:pStyle w:val="ListParagraph"/>
        <w:numPr>
          <w:ilvl w:val="2"/>
          <w:numId w:val="1"/>
        </w:numPr>
        <w:ind w:left="1440" w:hanging="360"/>
        <w:jc w:val="both"/>
        <w:rPr>
          <w:sz w:val="22"/>
          <w:szCs w:val="22"/>
        </w:rPr>
      </w:pPr>
      <w:r w:rsidRPr="00110C13">
        <w:rPr>
          <w:color w:val="000000"/>
          <w:sz w:val="22"/>
          <w:szCs w:val="22"/>
        </w:rPr>
        <w:t>The MGO target detection range shall be 0-2000</w:t>
      </w:r>
      <w:r w:rsidR="006F1EF3">
        <w:rPr>
          <w:color w:val="000000"/>
          <w:sz w:val="22"/>
          <w:szCs w:val="22"/>
        </w:rPr>
        <w:t xml:space="preserve"> meters (</w:t>
      </w:r>
      <w:r w:rsidRPr="00110C13">
        <w:rPr>
          <w:color w:val="000000"/>
          <w:sz w:val="22"/>
          <w:szCs w:val="22"/>
        </w:rPr>
        <w:t>m</w:t>
      </w:r>
      <w:r w:rsidR="006F1EF3">
        <w:rPr>
          <w:color w:val="000000"/>
          <w:sz w:val="22"/>
          <w:szCs w:val="22"/>
        </w:rPr>
        <w:t>)</w:t>
      </w:r>
      <w:r w:rsidRPr="00110C13">
        <w:rPr>
          <w:color w:val="000000"/>
          <w:sz w:val="22"/>
          <w:szCs w:val="22"/>
        </w:rPr>
        <w:t xml:space="preserve"> and as a goal the MGO target recognition range should be 500m beyond the effective range of the weapon.</w:t>
      </w:r>
    </w:p>
    <w:p w14:paraId="3E5EC49E" w14:textId="77777777" w:rsidR="006545B7" w:rsidRPr="00110C13" w:rsidRDefault="006545B7" w:rsidP="00C36E29">
      <w:pPr>
        <w:pStyle w:val="ListParagraph"/>
        <w:numPr>
          <w:ilvl w:val="2"/>
          <w:numId w:val="1"/>
        </w:numPr>
        <w:ind w:left="1440" w:hanging="360"/>
        <w:jc w:val="both"/>
        <w:rPr>
          <w:sz w:val="22"/>
          <w:szCs w:val="22"/>
        </w:rPr>
      </w:pPr>
      <w:r w:rsidRPr="00110C13">
        <w:rPr>
          <w:sz w:val="22"/>
          <w:szCs w:val="22"/>
        </w:rPr>
        <w:t>Shall be coin cell battery powered.</w:t>
      </w:r>
    </w:p>
    <w:p w14:paraId="54A9A702" w14:textId="77777777" w:rsidR="006545B7" w:rsidRPr="00110C13" w:rsidRDefault="006545B7" w:rsidP="00C36E29">
      <w:pPr>
        <w:pStyle w:val="ListParagraph"/>
        <w:numPr>
          <w:ilvl w:val="2"/>
          <w:numId w:val="1"/>
        </w:numPr>
        <w:ind w:left="1440" w:hanging="360"/>
        <w:jc w:val="both"/>
        <w:rPr>
          <w:sz w:val="22"/>
          <w:szCs w:val="22"/>
        </w:rPr>
      </w:pPr>
      <w:r w:rsidRPr="00110C13">
        <w:rPr>
          <w:sz w:val="22"/>
          <w:szCs w:val="22"/>
        </w:rPr>
        <w:t>The MGO shall not have a laser and shall not present a safety risk to the operator.</w:t>
      </w:r>
    </w:p>
    <w:p w14:paraId="0B78C7C1" w14:textId="77777777" w:rsidR="006545B7" w:rsidRDefault="00110C13" w:rsidP="00C36E29">
      <w:pPr>
        <w:pStyle w:val="ListParagraph"/>
        <w:numPr>
          <w:ilvl w:val="2"/>
          <w:numId w:val="1"/>
        </w:numPr>
        <w:ind w:left="1440" w:hanging="360"/>
        <w:jc w:val="both"/>
        <w:rPr>
          <w:sz w:val="22"/>
          <w:szCs w:val="22"/>
        </w:rPr>
      </w:pPr>
      <w:r>
        <w:rPr>
          <w:sz w:val="22"/>
          <w:szCs w:val="22"/>
        </w:rPr>
        <w:t>Shall be w</w:t>
      </w:r>
      <w:r w:rsidR="006545B7" w:rsidRPr="00110C13">
        <w:rPr>
          <w:sz w:val="22"/>
          <w:szCs w:val="22"/>
        </w:rPr>
        <w:t>ater proof to at least 1m depth for 2 hours.</w:t>
      </w:r>
    </w:p>
    <w:p w14:paraId="3393EA4A" w14:textId="77777777" w:rsidR="006F1EF3" w:rsidRDefault="00110C13" w:rsidP="006F1EF3">
      <w:pPr>
        <w:pStyle w:val="ListParagraph"/>
        <w:numPr>
          <w:ilvl w:val="2"/>
          <w:numId w:val="1"/>
        </w:numPr>
        <w:ind w:left="1440" w:hanging="360"/>
        <w:jc w:val="both"/>
        <w:rPr>
          <w:sz w:val="22"/>
          <w:szCs w:val="22"/>
        </w:rPr>
      </w:pPr>
      <w:r w:rsidRPr="006F1EF3">
        <w:rPr>
          <w:sz w:val="22"/>
          <w:szCs w:val="22"/>
        </w:rPr>
        <w:t>Shall s</w:t>
      </w:r>
      <w:r w:rsidR="006545B7" w:rsidRPr="006F1EF3">
        <w:rPr>
          <w:sz w:val="22"/>
          <w:szCs w:val="22"/>
        </w:rPr>
        <w:t>urvive all SOCOM SOF environments and be tested per MIL-STD-810H</w:t>
      </w:r>
      <w:r w:rsidRPr="006F1EF3">
        <w:rPr>
          <w:sz w:val="22"/>
          <w:szCs w:val="22"/>
        </w:rPr>
        <w:t>.</w:t>
      </w:r>
      <w:r w:rsidR="006F1EF3" w:rsidRPr="006F1EF3">
        <w:rPr>
          <w:sz w:val="22"/>
          <w:szCs w:val="22"/>
        </w:rPr>
        <w:t xml:space="preserve"> </w:t>
      </w:r>
    </w:p>
    <w:p w14:paraId="4C8FF50B" w14:textId="77777777" w:rsidR="006F1EF3" w:rsidRPr="006F1EF3" w:rsidRDefault="006F1EF3" w:rsidP="006F1EF3">
      <w:pPr>
        <w:pStyle w:val="ListParagraph"/>
        <w:numPr>
          <w:ilvl w:val="2"/>
          <w:numId w:val="1"/>
        </w:numPr>
        <w:ind w:left="1440" w:hanging="360"/>
        <w:jc w:val="both"/>
        <w:rPr>
          <w:sz w:val="22"/>
          <w:szCs w:val="22"/>
        </w:rPr>
      </w:pPr>
      <w:r w:rsidRPr="006F1EF3">
        <w:rPr>
          <w:sz w:val="22"/>
          <w:szCs w:val="22"/>
        </w:rPr>
        <w:t>Maximum Technical Readiness Level (TRL) of TRL 7. (System prototype demonstration in an operational environment:  Prototype near, or at, planned operational system.  Represents a major step up from TRL 6, requiring the demonstration of an actual system prototype in an operational environment such as an aircraft, vehicle, or space.)</w:t>
      </w:r>
    </w:p>
    <w:p w14:paraId="49B890DF" w14:textId="77777777" w:rsidR="006545B7" w:rsidRPr="006545B7" w:rsidRDefault="006545B7" w:rsidP="00C36E29">
      <w:pPr>
        <w:pStyle w:val="ListParagraph"/>
        <w:ind w:left="2520"/>
        <w:jc w:val="both"/>
        <w:rPr>
          <w:sz w:val="22"/>
          <w:szCs w:val="22"/>
        </w:rPr>
      </w:pPr>
    </w:p>
    <w:p w14:paraId="489A87BD" w14:textId="77777777" w:rsidR="006545B7" w:rsidRDefault="006545B7" w:rsidP="00C36E29">
      <w:pPr>
        <w:pStyle w:val="ListParagraph"/>
        <w:numPr>
          <w:ilvl w:val="1"/>
          <w:numId w:val="1"/>
        </w:numPr>
        <w:jc w:val="both"/>
        <w:rPr>
          <w:sz w:val="22"/>
          <w:szCs w:val="22"/>
        </w:rPr>
      </w:pPr>
      <w:r>
        <w:rPr>
          <w:b/>
          <w:sz w:val="22"/>
          <w:szCs w:val="22"/>
        </w:rPr>
        <w:t>Component Requirements:</w:t>
      </w:r>
      <w:r>
        <w:rPr>
          <w:sz w:val="22"/>
          <w:szCs w:val="22"/>
        </w:rPr>
        <w:t xml:space="preserve">  N/A</w:t>
      </w:r>
    </w:p>
    <w:p w14:paraId="6B56377F" w14:textId="77777777" w:rsidR="006545B7" w:rsidRDefault="006545B7" w:rsidP="00C36E29">
      <w:pPr>
        <w:pStyle w:val="ListParagraph"/>
        <w:ind w:left="1080"/>
        <w:jc w:val="both"/>
        <w:rPr>
          <w:sz w:val="22"/>
          <w:szCs w:val="22"/>
        </w:rPr>
      </w:pPr>
    </w:p>
    <w:p w14:paraId="659BFB2B" w14:textId="77777777" w:rsidR="006545B7" w:rsidRDefault="006545B7" w:rsidP="00C36E29">
      <w:pPr>
        <w:pStyle w:val="ListParagraph"/>
        <w:numPr>
          <w:ilvl w:val="1"/>
          <w:numId w:val="1"/>
        </w:numPr>
        <w:jc w:val="both"/>
        <w:rPr>
          <w:sz w:val="22"/>
          <w:szCs w:val="22"/>
        </w:rPr>
      </w:pPr>
      <w:r>
        <w:rPr>
          <w:b/>
          <w:sz w:val="22"/>
          <w:szCs w:val="22"/>
        </w:rPr>
        <w:t>Unique Item Identification:</w:t>
      </w:r>
      <w:r>
        <w:rPr>
          <w:sz w:val="22"/>
          <w:szCs w:val="22"/>
        </w:rPr>
        <w:t xml:space="preserve">  The contractor shall include the </w:t>
      </w:r>
      <w:r w:rsidR="006F1EF3">
        <w:rPr>
          <w:sz w:val="22"/>
          <w:szCs w:val="22"/>
        </w:rPr>
        <w:t>Department of Defense (DoD) unique item identifications (UID)</w:t>
      </w:r>
      <w:r>
        <w:rPr>
          <w:sz w:val="22"/>
          <w:szCs w:val="22"/>
        </w:rPr>
        <w:t xml:space="preserve"> or a DoD recognized unique identification equivalent for the prototypes delivered.  This </w:t>
      </w:r>
      <w:r w:rsidRPr="00B24A63">
        <w:rPr>
          <w:sz w:val="22"/>
          <w:szCs w:val="22"/>
        </w:rPr>
        <w:t xml:space="preserve">includes a description and cost breakout as applicable. Information on unique item identifier types is at </w:t>
      </w:r>
      <w:hyperlink r:id="rId7" w:history="1">
        <w:r w:rsidRPr="00B24A63">
          <w:rPr>
            <w:rStyle w:val="Hyperlink"/>
            <w:sz w:val="22"/>
            <w:szCs w:val="22"/>
          </w:rPr>
          <w:t>http://www.acq.osd.mil/dpap/UID/uid_types.html</w:t>
        </w:r>
      </w:hyperlink>
      <w:r w:rsidRPr="00B24A63">
        <w:rPr>
          <w:sz w:val="22"/>
          <w:szCs w:val="22"/>
        </w:rPr>
        <w:t xml:space="preserve">. The guide is at </w:t>
      </w:r>
      <w:hyperlink r:id="rId8" w:history="1">
        <w:r w:rsidRPr="00B24A63">
          <w:rPr>
            <w:rStyle w:val="Hyperlink"/>
            <w:sz w:val="22"/>
            <w:szCs w:val="22"/>
          </w:rPr>
          <w:t>http://www.acq.osd.mil/dpap/UID/guides.htm</w:t>
        </w:r>
      </w:hyperlink>
      <w:r w:rsidRPr="00B24A63">
        <w:rPr>
          <w:sz w:val="22"/>
          <w:szCs w:val="22"/>
        </w:rPr>
        <w:t>. This is in accordance with DFARS 252.211-7003.</w:t>
      </w:r>
    </w:p>
    <w:p w14:paraId="2BFFA086" w14:textId="77777777" w:rsidR="006545B7" w:rsidRPr="006545B7" w:rsidRDefault="006545B7" w:rsidP="00C36E29">
      <w:pPr>
        <w:pStyle w:val="ListParagraph"/>
        <w:jc w:val="both"/>
        <w:rPr>
          <w:sz w:val="22"/>
          <w:szCs w:val="22"/>
        </w:rPr>
      </w:pPr>
    </w:p>
    <w:p w14:paraId="08BE10D8" w14:textId="77777777" w:rsidR="006545B7" w:rsidRDefault="006545B7" w:rsidP="00C36E29">
      <w:pPr>
        <w:pStyle w:val="ListParagraph"/>
        <w:numPr>
          <w:ilvl w:val="1"/>
          <w:numId w:val="1"/>
        </w:numPr>
        <w:jc w:val="both"/>
        <w:rPr>
          <w:sz w:val="22"/>
          <w:szCs w:val="22"/>
        </w:rPr>
      </w:pPr>
      <w:r w:rsidRPr="00D142CE">
        <w:rPr>
          <w:b/>
          <w:sz w:val="22"/>
          <w:szCs w:val="22"/>
        </w:rPr>
        <w:t>S</w:t>
      </w:r>
      <w:r>
        <w:rPr>
          <w:b/>
          <w:sz w:val="22"/>
          <w:szCs w:val="22"/>
        </w:rPr>
        <w:t>hip to A</w:t>
      </w:r>
      <w:r w:rsidRPr="00D142CE">
        <w:rPr>
          <w:b/>
          <w:sz w:val="22"/>
          <w:szCs w:val="22"/>
        </w:rPr>
        <w:t xml:space="preserve">ddress:  </w:t>
      </w:r>
      <w:r w:rsidRPr="00D142CE">
        <w:rPr>
          <w:sz w:val="22"/>
          <w:szCs w:val="22"/>
        </w:rPr>
        <w:t>The Contractor shall deliver all prototypes systems delivered under this contract to the following address:</w:t>
      </w:r>
    </w:p>
    <w:p w14:paraId="7E98F1FA" w14:textId="77777777" w:rsidR="006545B7" w:rsidRPr="006545B7" w:rsidRDefault="006545B7" w:rsidP="00C36E29">
      <w:pPr>
        <w:pStyle w:val="ListParagraph"/>
        <w:jc w:val="both"/>
        <w:rPr>
          <w:sz w:val="22"/>
          <w:szCs w:val="22"/>
        </w:rPr>
      </w:pPr>
    </w:p>
    <w:p w14:paraId="4C87F6E9" w14:textId="77777777" w:rsidR="006545B7" w:rsidRDefault="006545B7" w:rsidP="00C36E29">
      <w:pPr>
        <w:pStyle w:val="ListParagraph"/>
        <w:ind w:left="1080"/>
        <w:jc w:val="both"/>
        <w:rPr>
          <w:sz w:val="22"/>
          <w:szCs w:val="22"/>
        </w:rPr>
      </w:pPr>
      <w:r>
        <w:rPr>
          <w:sz w:val="22"/>
          <w:szCs w:val="22"/>
        </w:rPr>
        <w:t>Naval Surface Warfare Center Crane Division (DoDAAC:  N00164)</w:t>
      </w:r>
    </w:p>
    <w:p w14:paraId="1718227D" w14:textId="77777777" w:rsidR="006545B7" w:rsidRDefault="006545B7" w:rsidP="00C36E29">
      <w:pPr>
        <w:pStyle w:val="ListParagraph"/>
        <w:ind w:left="1080"/>
        <w:jc w:val="both"/>
        <w:rPr>
          <w:sz w:val="22"/>
          <w:szCs w:val="22"/>
        </w:rPr>
      </w:pPr>
      <w:r>
        <w:rPr>
          <w:sz w:val="22"/>
          <w:szCs w:val="22"/>
        </w:rPr>
        <w:t>Audrey Robinson/David Curry</w:t>
      </w:r>
    </w:p>
    <w:p w14:paraId="13EFC0B9" w14:textId="77777777" w:rsidR="006545B7" w:rsidRDefault="006545B7" w:rsidP="00C36E29">
      <w:pPr>
        <w:pStyle w:val="ListParagraph"/>
        <w:ind w:left="1080"/>
        <w:jc w:val="both"/>
        <w:rPr>
          <w:sz w:val="22"/>
          <w:szCs w:val="22"/>
        </w:rPr>
      </w:pPr>
      <w:r>
        <w:rPr>
          <w:sz w:val="22"/>
          <w:szCs w:val="22"/>
        </w:rPr>
        <w:t>Bldg 3291, Code JXQR</w:t>
      </w:r>
    </w:p>
    <w:p w14:paraId="6FC12C3B" w14:textId="77777777" w:rsidR="006545B7" w:rsidRDefault="006545B7" w:rsidP="00C36E29">
      <w:pPr>
        <w:pStyle w:val="ListParagraph"/>
        <w:ind w:left="1080"/>
        <w:jc w:val="both"/>
        <w:rPr>
          <w:sz w:val="22"/>
          <w:szCs w:val="22"/>
        </w:rPr>
      </w:pPr>
      <w:r>
        <w:rPr>
          <w:sz w:val="22"/>
          <w:szCs w:val="22"/>
        </w:rPr>
        <w:t>300 HWY 361</w:t>
      </w:r>
    </w:p>
    <w:p w14:paraId="60CAC805" w14:textId="77777777" w:rsidR="006545B7" w:rsidRDefault="006545B7" w:rsidP="00C36E29">
      <w:pPr>
        <w:pStyle w:val="ListParagraph"/>
        <w:ind w:left="1080"/>
        <w:jc w:val="both"/>
        <w:rPr>
          <w:sz w:val="22"/>
          <w:szCs w:val="22"/>
        </w:rPr>
      </w:pPr>
      <w:r>
        <w:rPr>
          <w:sz w:val="22"/>
          <w:szCs w:val="22"/>
        </w:rPr>
        <w:t>CRANE, IN 47522-5001</w:t>
      </w:r>
    </w:p>
    <w:p w14:paraId="5E6859EE" w14:textId="77777777" w:rsidR="006545B7" w:rsidRDefault="006545B7" w:rsidP="00C36E29">
      <w:pPr>
        <w:pStyle w:val="ListParagraph"/>
        <w:ind w:left="1080"/>
        <w:jc w:val="both"/>
        <w:rPr>
          <w:sz w:val="22"/>
          <w:szCs w:val="22"/>
        </w:rPr>
      </w:pPr>
      <w:r>
        <w:rPr>
          <w:sz w:val="22"/>
          <w:szCs w:val="22"/>
        </w:rPr>
        <w:lastRenderedPageBreak/>
        <w:t>(812) 854</w:t>
      </w:r>
      <w:r w:rsidR="00FD29F1">
        <w:rPr>
          <w:sz w:val="22"/>
          <w:szCs w:val="22"/>
        </w:rPr>
        <w:t>-4399/(812) 296-2150</w:t>
      </w:r>
    </w:p>
    <w:p w14:paraId="644EF1CD" w14:textId="77777777" w:rsidR="00FD29F1" w:rsidRDefault="00FD29F1" w:rsidP="00C36E29">
      <w:pPr>
        <w:pStyle w:val="ListParagraph"/>
        <w:ind w:left="1080"/>
        <w:jc w:val="both"/>
        <w:rPr>
          <w:sz w:val="22"/>
          <w:szCs w:val="22"/>
        </w:rPr>
      </w:pPr>
    </w:p>
    <w:p w14:paraId="439F265B" w14:textId="77777777" w:rsidR="00FD29F1" w:rsidRPr="00FD29F1" w:rsidRDefault="00FD29F1" w:rsidP="00C36E29">
      <w:pPr>
        <w:pStyle w:val="ListParagraph"/>
        <w:numPr>
          <w:ilvl w:val="1"/>
          <w:numId w:val="1"/>
        </w:numPr>
        <w:jc w:val="both"/>
        <w:rPr>
          <w:b/>
          <w:sz w:val="22"/>
          <w:szCs w:val="22"/>
        </w:rPr>
      </w:pPr>
      <w:r w:rsidRPr="00FD29F1">
        <w:rPr>
          <w:b/>
          <w:sz w:val="22"/>
          <w:szCs w:val="22"/>
        </w:rPr>
        <w:t>Shipping Costs:</w:t>
      </w:r>
      <w:r>
        <w:rPr>
          <w:sz w:val="22"/>
          <w:szCs w:val="22"/>
        </w:rPr>
        <w:t xml:space="preserve">  The Contractor shall pay all the costs to ship all product deliverables to and from the validation testing/demonstration sites and to the final delivery location.</w:t>
      </w:r>
    </w:p>
    <w:p w14:paraId="4B8F4594" w14:textId="77777777" w:rsidR="00FD29F1" w:rsidRPr="00FD29F1" w:rsidRDefault="00FD29F1" w:rsidP="00C36E29">
      <w:pPr>
        <w:pStyle w:val="ListParagraph"/>
        <w:ind w:left="1080"/>
        <w:jc w:val="both"/>
        <w:rPr>
          <w:b/>
          <w:sz w:val="22"/>
          <w:szCs w:val="22"/>
        </w:rPr>
      </w:pPr>
    </w:p>
    <w:p w14:paraId="526D1468" w14:textId="77777777" w:rsidR="00FD29F1" w:rsidRPr="00FD29F1" w:rsidRDefault="00BD490E" w:rsidP="00C36E29">
      <w:pPr>
        <w:pStyle w:val="ListParagraph"/>
        <w:numPr>
          <w:ilvl w:val="0"/>
          <w:numId w:val="1"/>
        </w:numPr>
        <w:jc w:val="both"/>
        <w:rPr>
          <w:b/>
          <w:sz w:val="22"/>
          <w:szCs w:val="22"/>
        </w:rPr>
      </w:pPr>
      <w:r>
        <w:rPr>
          <w:b/>
          <w:sz w:val="22"/>
          <w:szCs w:val="22"/>
        </w:rPr>
        <w:t>Document Deliverables</w:t>
      </w:r>
      <w:r w:rsidR="00FD29F1">
        <w:rPr>
          <w:b/>
          <w:sz w:val="22"/>
          <w:szCs w:val="22"/>
        </w:rPr>
        <w:t>:</w:t>
      </w:r>
      <w:r w:rsidR="00FD29F1">
        <w:rPr>
          <w:sz w:val="22"/>
          <w:szCs w:val="22"/>
        </w:rPr>
        <w:t xml:space="preserve">  The Contractor shall provide the following documents to the respective specified addresses during the</w:t>
      </w:r>
      <w:r w:rsidR="006F1EF3">
        <w:rPr>
          <w:sz w:val="22"/>
          <w:szCs w:val="22"/>
        </w:rPr>
        <w:t xml:space="preserve"> Phase II Period of Performance per the respective contract data requirements list (CDRL):</w:t>
      </w:r>
    </w:p>
    <w:p w14:paraId="3DB4CB39" w14:textId="77777777" w:rsidR="00FD29F1" w:rsidRDefault="00FD29F1" w:rsidP="00C36E29">
      <w:pPr>
        <w:jc w:val="both"/>
        <w:rPr>
          <w:sz w:val="22"/>
          <w:szCs w:val="22"/>
        </w:rPr>
      </w:pPr>
    </w:p>
    <w:p w14:paraId="5BE523B2" w14:textId="77777777" w:rsidR="00375906" w:rsidRPr="00375906" w:rsidRDefault="00375906" w:rsidP="00C36E29">
      <w:pPr>
        <w:numPr>
          <w:ilvl w:val="0"/>
          <w:numId w:val="5"/>
        </w:numPr>
        <w:jc w:val="both"/>
        <w:rPr>
          <w:sz w:val="22"/>
          <w:szCs w:val="22"/>
        </w:rPr>
      </w:pPr>
      <w:r w:rsidRPr="00375906">
        <w:rPr>
          <w:sz w:val="22"/>
          <w:szCs w:val="22"/>
        </w:rPr>
        <w:t>Kick-Off/System Requirements Review: See CDRL A001.</w:t>
      </w:r>
    </w:p>
    <w:p w14:paraId="00974347" w14:textId="77777777" w:rsidR="00375906" w:rsidRPr="00375906" w:rsidRDefault="00375906" w:rsidP="00C36E29">
      <w:pPr>
        <w:numPr>
          <w:ilvl w:val="0"/>
          <w:numId w:val="5"/>
        </w:numPr>
        <w:jc w:val="both"/>
        <w:rPr>
          <w:sz w:val="22"/>
          <w:szCs w:val="22"/>
        </w:rPr>
      </w:pPr>
      <w:r w:rsidRPr="00375906">
        <w:rPr>
          <w:sz w:val="22"/>
          <w:szCs w:val="22"/>
        </w:rPr>
        <w:t>Monthly Progress Reports: See CDRL A002.</w:t>
      </w:r>
    </w:p>
    <w:p w14:paraId="45FCA594" w14:textId="77777777" w:rsidR="00375906" w:rsidRPr="00375906" w:rsidRDefault="00375906" w:rsidP="00C36E29">
      <w:pPr>
        <w:numPr>
          <w:ilvl w:val="0"/>
          <w:numId w:val="5"/>
        </w:numPr>
        <w:jc w:val="both"/>
        <w:rPr>
          <w:sz w:val="22"/>
          <w:szCs w:val="22"/>
        </w:rPr>
      </w:pPr>
      <w:r w:rsidRPr="00375906">
        <w:rPr>
          <w:sz w:val="22"/>
          <w:szCs w:val="22"/>
        </w:rPr>
        <w:t>Developmental Test Plan for Performance Validation: See CDRL A003.</w:t>
      </w:r>
    </w:p>
    <w:p w14:paraId="0868EDBF" w14:textId="77777777" w:rsidR="00375906" w:rsidRPr="00375906" w:rsidRDefault="00375906" w:rsidP="00C36E29">
      <w:pPr>
        <w:numPr>
          <w:ilvl w:val="0"/>
          <w:numId w:val="5"/>
        </w:numPr>
        <w:jc w:val="both"/>
        <w:rPr>
          <w:sz w:val="22"/>
          <w:szCs w:val="22"/>
        </w:rPr>
      </w:pPr>
      <w:r w:rsidRPr="00375906">
        <w:rPr>
          <w:sz w:val="22"/>
          <w:szCs w:val="22"/>
        </w:rPr>
        <w:t>Developmental Test Report for Performance Validation: See CDRL A004.</w:t>
      </w:r>
    </w:p>
    <w:p w14:paraId="3C756232" w14:textId="77777777" w:rsidR="00375906" w:rsidRPr="00375906" w:rsidRDefault="00375906" w:rsidP="00C36E29">
      <w:pPr>
        <w:numPr>
          <w:ilvl w:val="0"/>
          <w:numId w:val="5"/>
        </w:numPr>
        <w:jc w:val="both"/>
        <w:rPr>
          <w:sz w:val="22"/>
          <w:szCs w:val="22"/>
        </w:rPr>
      </w:pPr>
      <w:r w:rsidRPr="00375906">
        <w:rPr>
          <w:sz w:val="22"/>
          <w:szCs w:val="22"/>
        </w:rPr>
        <w:t>Business Plans: See CDRL A005.</w:t>
      </w:r>
    </w:p>
    <w:p w14:paraId="7E44FFA3" w14:textId="77777777" w:rsidR="00375906" w:rsidRPr="00375906" w:rsidRDefault="00375906" w:rsidP="00C36E29">
      <w:pPr>
        <w:numPr>
          <w:ilvl w:val="0"/>
          <w:numId w:val="5"/>
        </w:numPr>
        <w:jc w:val="both"/>
        <w:rPr>
          <w:sz w:val="22"/>
          <w:szCs w:val="22"/>
        </w:rPr>
      </w:pPr>
      <w:r w:rsidRPr="00375906">
        <w:rPr>
          <w:sz w:val="22"/>
          <w:szCs w:val="22"/>
        </w:rPr>
        <w:t>Final Technical Report: See CDRL A006.</w:t>
      </w:r>
    </w:p>
    <w:p w14:paraId="38100A80" w14:textId="77777777" w:rsidR="00375906" w:rsidRPr="00375906" w:rsidRDefault="00375906" w:rsidP="00C36E29">
      <w:pPr>
        <w:numPr>
          <w:ilvl w:val="0"/>
          <w:numId w:val="5"/>
        </w:numPr>
        <w:jc w:val="both"/>
        <w:rPr>
          <w:sz w:val="22"/>
          <w:szCs w:val="22"/>
        </w:rPr>
      </w:pPr>
      <w:r w:rsidRPr="00375906">
        <w:rPr>
          <w:sz w:val="22"/>
          <w:szCs w:val="22"/>
        </w:rPr>
        <w:t>Preliminary Design Review – Design Review Information Package: See CDRL A007.</w:t>
      </w:r>
    </w:p>
    <w:p w14:paraId="5A6F94C2" w14:textId="77777777" w:rsidR="00375906" w:rsidRPr="00375906" w:rsidRDefault="00375906" w:rsidP="00C36E29">
      <w:pPr>
        <w:numPr>
          <w:ilvl w:val="0"/>
          <w:numId w:val="5"/>
        </w:numPr>
        <w:jc w:val="both"/>
        <w:rPr>
          <w:sz w:val="22"/>
          <w:szCs w:val="22"/>
        </w:rPr>
      </w:pPr>
      <w:r w:rsidRPr="00375906">
        <w:rPr>
          <w:sz w:val="22"/>
          <w:szCs w:val="22"/>
        </w:rPr>
        <w:t>Critical Design Review - Design Review Information Package: See CDRL A008.</w:t>
      </w:r>
    </w:p>
    <w:p w14:paraId="05AAC287" w14:textId="77777777" w:rsidR="00375906" w:rsidRPr="00375906" w:rsidRDefault="00375906" w:rsidP="00C36E29">
      <w:pPr>
        <w:numPr>
          <w:ilvl w:val="0"/>
          <w:numId w:val="5"/>
        </w:numPr>
        <w:jc w:val="both"/>
        <w:rPr>
          <w:sz w:val="22"/>
          <w:szCs w:val="22"/>
        </w:rPr>
      </w:pPr>
      <w:r w:rsidRPr="00375906">
        <w:rPr>
          <w:sz w:val="22"/>
          <w:szCs w:val="22"/>
        </w:rPr>
        <w:t>Financial Status Report: See CDRL A009.</w:t>
      </w:r>
    </w:p>
    <w:p w14:paraId="02F565AD" w14:textId="77777777" w:rsidR="00D53A1F" w:rsidRPr="00375906" w:rsidRDefault="00375906" w:rsidP="00C36E29">
      <w:pPr>
        <w:numPr>
          <w:ilvl w:val="0"/>
          <w:numId w:val="5"/>
        </w:numPr>
        <w:jc w:val="both"/>
        <w:rPr>
          <w:sz w:val="22"/>
          <w:szCs w:val="22"/>
        </w:rPr>
      </w:pPr>
      <w:r w:rsidRPr="00375906">
        <w:rPr>
          <w:sz w:val="22"/>
          <w:szCs w:val="22"/>
        </w:rPr>
        <w:t>Contractor Acquired Property: See CDRL A010.</w:t>
      </w:r>
    </w:p>
    <w:p w14:paraId="1B4A4CE8" w14:textId="77777777" w:rsidR="00FD29F1" w:rsidRDefault="00FD29F1" w:rsidP="00C36E29">
      <w:pPr>
        <w:jc w:val="both"/>
        <w:rPr>
          <w:b/>
          <w:sz w:val="22"/>
          <w:szCs w:val="22"/>
        </w:rPr>
      </w:pPr>
    </w:p>
    <w:p w14:paraId="0C751676" w14:textId="77777777" w:rsidR="00FD29F1" w:rsidRDefault="00FD29F1" w:rsidP="00C36E29">
      <w:pPr>
        <w:jc w:val="both"/>
        <w:rPr>
          <w:sz w:val="22"/>
          <w:szCs w:val="22"/>
        </w:rPr>
      </w:pPr>
      <w:r>
        <w:rPr>
          <w:b/>
          <w:sz w:val="22"/>
          <w:szCs w:val="22"/>
        </w:rPr>
        <w:t>V.  TESTS AND DEMONSTRATIONS:</w:t>
      </w:r>
      <w:r>
        <w:rPr>
          <w:sz w:val="22"/>
          <w:szCs w:val="22"/>
        </w:rPr>
        <w:t xml:space="preserve">  The Contractor shall conduct tests and demonstrations to validate that the UCLR-MGO meets or exceeds all the requirements specified in this Statement of Objectives. </w:t>
      </w:r>
      <w:r w:rsidRPr="003B26C8">
        <w:rPr>
          <w:sz w:val="22"/>
          <w:szCs w:val="22"/>
        </w:rPr>
        <w:t xml:space="preserve"> </w:t>
      </w:r>
      <w:r>
        <w:rPr>
          <w:sz w:val="22"/>
          <w:szCs w:val="22"/>
        </w:rPr>
        <w:t>(See CDRL A00</w:t>
      </w:r>
      <w:r w:rsidR="00FB5D52">
        <w:rPr>
          <w:sz w:val="22"/>
          <w:szCs w:val="22"/>
        </w:rPr>
        <w:t>3</w:t>
      </w:r>
      <w:r>
        <w:rPr>
          <w:sz w:val="22"/>
          <w:szCs w:val="22"/>
        </w:rPr>
        <w:t xml:space="preserve"> and CDRL A00</w:t>
      </w:r>
      <w:r w:rsidR="00FB5D52">
        <w:rPr>
          <w:sz w:val="22"/>
          <w:szCs w:val="22"/>
        </w:rPr>
        <w:t>4</w:t>
      </w:r>
      <w:r>
        <w:rPr>
          <w:sz w:val="22"/>
          <w:szCs w:val="22"/>
        </w:rPr>
        <w:t>)</w:t>
      </w:r>
      <w:r w:rsidRPr="003B26C8">
        <w:rPr>
          <w:sz w:val="22"/>
          <w:szCs w:val="22"/>
        </w:rPr>
        <w:t xml:space="preserve">.  </w:t>
      </w:r>
    </w:p>
    <w:p w14:paraId="02EB5D80" w14:textId="77777777" w:rsidR="00FD29F1" w:rsidRDefault="00FD29F1" w:rsidP="00C36E29">
      <w:pPr>
        <w:pStyle w:val="ListParagraph"/>
        <w:jc w:val="both"/>
        <w:rPr>
          <w:sz w:val="22"/>
          <w:szCs w:val="22"/>
        </w:rPr>
      </w:pPr>
    </w:p>
    <w:p w14:paraId="1A6EA68F" w14:textId="77777777" w:rsidR="00FD29F1" w:rsidRPr="00FD29F1" w:rsidRDefault="00FD29F1" w:rsidP="00C36E29">
      <w:pPr>
        <w:pStyle w:val="ListParagraph"/>
        <w:numPr>
          <w:ilvl w:val="0"/>
          <w:numId w:val="4"/>
        </w:numPr>
        <w:jc w:val="both"/>
        <w:rPr>
          <w:sz w:val="22"/>
          <w:szCs w:val="22"/>
        </w:rPr>
      </w:pPr>
      <w:r w:rsidRPr="00FD29F1">
        <w:rPr>
          <w:sz w:val="22"/>
          <w:szCs w:val="22"/>
        </w:rPr>
        <w:t xml:space="preserve">The Contractor shall demonstrate that the UCLR-MGO meets or exceeds the performance of </w:t>
      </w:r>
      <w:r w:rsidRPr="00C36E29">
        <w:rPr>
          <w:sz w:val="22"/>
          <w:szCs w:val="22"/>
        </w:rPr>
        <w:t>the detailed requirements above</w:t>
      </w:r>
      <w:r w:rsidR="00FB5D52" w:rsidRPr="00C36E29">
        <w:rPr>
          <w:sz w:val="22"/>
          <w:szCs w:val="22"/>
        </w:rPr>
        <w:t xml:space="preserve">.   </w:t>
      </w:r>
      <w:r w:rsidR="00FB5D52">
        <w:rPr>
          <w:sz w:val="22"/>
          <w:szCs w:val="22"/>
        </w:rPr>
        <w:t>(See CDRL A003</w:t>
      </w:r>
      <w:r w:rsidRPr="00FD29F1">
        <w:rPr>
          <w:sz w:val="22"/>
          <w:szCs w:val="22"/>
        </w:rPr>
        <w:t xml:space="preserve"> and CDRL A00</w:t>
      </w:r>
      <w:r w:rsidR="00FB5D52">
        <w:rPr>
          <w:sz w:val="22"/>
          <w:szCs w:val="22"/>
        </w:rPr>
        <w:t>4</w:t>
      </w:r>
      <w:r w:rsidRPr="00FD29F1">
        <w:rPr>
          <w:sz w:val="22"/>
          <w:szCs w:val="22"/>
        </w:rPr>
        <w:t>).</w:t>
      </w:r>
    </w:p>
    <w:p w14:paraId="21F87220" w14:textId="77777777" w:rsidR="00375906" w:rsidRDefault="00375906" w:rsidP="00C36E29">
      <w:pPr>
        <w:jc w:val="both"/>
        <w:rPr>
          <w:sz w:val="22"/>
          <w:szCs w:val="22"/>
        </w:rPr>
      </w:pPr>
    </w:p>
    <w:p w14:paraId="533F0C9E" w14:textId="77777777" w:rsidR="006F1EF3" w:rsidRDefault="00375906" w:rsidP="006F1EF3">
      <w:pPr>
        <w:jc w:val="both"/>
        <w:rPr>
          <w:sz w:val="22"/>
          <w:szCs w:val="22"/>
        </w:rPr>
      </w:pPr>
      <w:r w:rsidRPr="00C36E29">
        <w:rPr>
          <w:sz w:val="22"/>
          <w:szCs w:val="22"/>
        </w:rPr>
        <w:t xml:space="preserve">VI.  </w:t>
      </w:r>
      <w:r w:rsidRPr="00C36E29">
        <w:rPr>
          <w:b/>
          <w:sz w:val="22"/>
          <w:szCs w:val="22"/>
        </w:rPr>
        <w:t>ENVIRONMENTAL AND SAFETY:</w:t>
      </w:r>
      <w:r w:rsidRPr="00C36E29">
        <w:rPr>
          <w:sz w:val="22"/>
          <w:szCs w:val="22"/>
        </w:rPr>
        <w:t xml:space="preserve"> </w:t>
      </w:r>
    </w:p>
    <w:p w14:paraId="34D3DED1" w14:textId="77777777" w:rsidR="006F1EF3" w:rsidRDefault="006F1EF3" w:rsidP="006F1EF3">
      <w:pPr>
        <w:jc w:val="both"/>
        <w:rPr>
          <w:sz w:val="22"/>
          <w:szCs w:val="22"/>
        </w:rPr>
      </w:pPr>
      <w:r>
        <w:rPr>
          <w:sz w:val="22"/>
          <w:szCs w:val="22"/>
        </w:rPr>
        <w:tab/>
      </w:r>
      <w:hyperlink r:id="rId9" w:history="1">
        <w:r>
          <w:rPr>
            <w:rStyle w:val="Hyperlink"/>
            <w:sz w:val="22"/>
            <w:szCs w:val="22"/>
          </w:rPr>
          <w:t>http://everyspec.com/MIL-STD/MIL-STD-1800-1999/MIL-STD-1913_17705/</w:t>
        </w:r>
      </w:hyperlink>
    </w:p>
    <w:p w14:paraId="3F17D476" w14:textId="77777777" w:rsidR="006F1EF3" w:rsidRDefault="006F1EF3" w:rsidP="006F1EF3">
      <w:pPr>
        <w:jc w:val="both"/>
        <w:rPr>
          <w:sz w:val="22"/>
          <w:szCs w:val="22"/>
        </w:rPr>
      </w:pPr>
      <w:r>
        <w:rPr>
          <w:sz w:val="22"/>
          <w:szCs w:val="22"/>
        </w:rPr>
        <w:tab/>
      </w:r>
    </w:p>
    <w:p w14:paraId="103E9939" w14:textId="77777777" w:rsidR="00375906" w:rsidRDefault="006F1EF3" w:rsidP="00C36E29">
      <w:pPr>
        <w:jc w:val="both"/>
        <w:rPr>
          <w:sz w:val="22"/>
          <w:szCs w:val="22"/>
        </w:rPr>
      </w:pPr>
      <w:r>
        <w:rPr>
          <w:sz w:val="22"/>
          <w:szCs w:val="22"/>
        </w:rPr>
        <w:tab/>
      </w:r>
      <w:hyperlink r:id="rId10" w:history="1">
        <w:r>
          <w:rPr>
            <w:rStyle w:val="Hyperlink"/>
            <w:sz w:val="22"/>
            <w:szCs w:val="22"/>
          </w:rPr>
          <w:t>http://everyspec.com/MIL-STD/MIL-STD-0800-0899/MIL-STD-810H_55998/</w:t>
        </w:r>
      </w:hyperlink>
    </w:p>
    <w:p w14:paraId="4C88D7D4" w14:textId="77777777" w:rsidR="00375906" w:rsidRPr="00C36E29" w:rsidRDefault="00375906" w:rsidP="00C36E29">
      <w:pPr>
        <w:jc w:val="both"/>
        <w:rPr>
          <w:sz w:val="22"/>
          <w:szCs w:val="22"/>
        </w:rPr>
      </w:pPr>
    </w:p>
    <w:p w14:paraId="38CCBBBB" w14:textId="77777777" w:rsidR="00375906" w:rsidRPr="00C36E29" w:rsidRDefault="00375906" w:rsidP="00C36E29">
      <w:pPr>
        <w:jc w:val="both"/>
        <w:rPr>
          <w:sz w:val="22"/>
          <w:szCs w:val="22"/>
        </w:rPr>
      </w:pPr>
      <w:r w:rsidRPr="00C36E29">
        <w:rPr>
          <w:sz w:val="22"/>
          <w:szCs w:val="22"/>
        </w:rPr>
        <w:t>VII.</w:t>
      </w:r>
      <w:r w:rsidRPr="00C36E29">
        <w:rPr>
          <w:b/>
          <w:sz w:val="22"/>
          <w:szCs w:val="22"/>
        </w:rPr>
        <w:t xml:space="preserve"> GOVERNMENT FURNISHED PROPERTY (GFP)/GOVERNMENT FURNISHED PROPERTY (GFE)</w:t>
      </w:r>
      <w:r w:rsidR="00BD490E" w:rsidRPr="00C36E29">
        <w:rPr>
          <w:b/>
          <w:sz w:val="22"/>
          <w:szCs w:val="22"/>
        </w:rPr>
        <w:t>/</w:t>
      </w:r>
      <w:r w:rsidRPr="00C36E29">
        <w:rPr>
          <w:b/>
          <w:sz w:val="22"/>
          <w:szCs w:val="22"/>
        </w:rPr>
        <w:t xml:space="preserve">GOVERNMENT FURNISHED INFORMATION (GFI):  </w:t>
      </w:r>
      <w:r w:rsidRPr="00C36E29">
        <w:rPr>
          <w:sz w:val="22"/>
          <w:szCs w:val="22"/>
        </w:rPr>
        <w:t>The Government does not intend to provide the Contractor any GFP, GFE</w:t>
      </w:r>
      <w:r w:rsidR="006F1EF3">
        <w:rPr>
          <w:sz w:val="22"/>
          <w:szCs w:val="22"/>
        </w:rPr>
        <w:t>,</w:t>
      </w:r>
      <w:r w:rsidRPr="00C36E29">
        <w:rPr>
          <w:sz w:val="22"/>
          <w:szCs w:val="22"/>
        </w:rPr>
        <w:t xml:space="preserve"> or GFI.  However, the Contractor shall specify by stock number and nomenclature any GFP/GFE/GFI the Contractor believes is needed to successfully complete the requirements specified </w:t>
      </w:r>
      <w:r w:rsidR="00BD490E" w:rsidRPr="00C36E29">
        <w:rPr>
          <w:sz w:val="22"/>
          <w:szCs w:val="22"/>
        </w:rPr>
        <w:t>in this Statement of Objectives</w:t>
      </w:r>
      <w:r w:rsidRPr="00C36E29">
        <w:rPr>
          <w:sz w:val="22"/>
          <w:szCs w:val="22"/>
        </w:rPr>
        <w:t xml:space="preserve">. </w:t>
      </w:r>
    </w:p>
    <w:p w14:paraId="214AB500" w14:textId="77777777" w:rsidR="00375906" w:rsidRPr="00C36E29" w:rsidRDefault="00375906" w:rsidP="00C36E29">
      <w:pPr>
        <w:jc w:val="both"/>
        <w:rPr>
          <w:sz w:val="22"/>
          <w:szCs w:val="22"/>
        </w:rPr>
      </w:pPr>
    </w:p>
    <w:p w14:paraId="4A0E8017" w14:textId="77777777" w:rsidR="00375906" w:rsidRPr="00C36E29" w:rsidRDefault="00375906" w:rsidP="00C36E29">
      <w:pPr>
        <w:jc w:val="both"/>
        <w:rPr>
          <w:sz w:val="22"/>
          <w:szCs w:val="22"/>
        </w:rPr>
      </w:pPr>
      <w:r w:rsidRPr="00C36E29">
        <w:rPr>
          <w:sz w:val="22"/>
          <w:szCs w:val="22"/>
        </w:rPr>
        <w:t xml:space="preserve">VIII. </w:t>
      </w:r>
      <w:r w:rsidRPr="00C36E29">
        <w:rPr>
          <w:b/>
          <w:caps/>
          <w:sz w:val="22"/>
          <w:szCs w:val="22"/>
        </w:rPr>
        <w:t>Period of Performance</w:t>
      </w:r>
      <w:r w:rsidRPr="00C36E29">
        <w:rPr>
          <w:b/>
          <w:sz w:val="22"/>
          <w:szCs w:val="22"/>
        </w:rPr>
        <w:t xml:space="preserve">:  </w:t>
      </w:r>
      <w:r w:rsidRPr="00C36E29">
        <w:rPr>
          <w:sz w:val="22"/>
          <w:szCs w:val="22"/>
        </w:rPr>
        <w:t xml:space="preserve">The maximum Period of Performance for this Phase II effort is </w:t>
      </w:r>
      <w:r w:rsidR="00C36E29">
        <w:rPr>
          <w:sz w:val="22"/>
          <w:szCs w:val="22"/>
        </w:rPr>
        <w:t>twelve</w:t>
      </w:r>
      <w:r w:rsidRPr="00C36E29">
        <w:rPr>
          <w:sz w:val="22"/>
          <w:szCs w:val="22"/>
        </w:rPr>
        <w:t xml:space="preserve"> (</w:t>
      </w:r>
      <w:r w:rsidR="00C36E29">
        <w:rPr>
          <w:sz w:val="22"/>
          <w:szCs w:val="22"/>
        </w:rPr>
        <w:t>12</w:t>
      </w:r>
      <w:r w:rsidRPr="00C36E29">
        <w:rPr>
          <w:sz w:val="22"/>
          <w:szCs w:val="22"/>
        </w:rPr>
        <w:t xml:space="preserve">) months.  The Contractor can propose a lessor Period of Performance if a lessor Period of Performance does not jeopardize the Contractor’s successful completion of the requirements specified in this Statement of Objectives. </w:t>
      </w:r>
    </w:p>
    <w:p w14:paraId="2954C9F3" w14:textId="77777777" w:rsidR="00375906" w:rsidRPr="00C36E29" w:rsidRDefault="00375906" w:rsidP="00C36E29">
      <w:pPr>
        <w:jc w:val="both"/>
        <w:rPr>
          <w:sz w:val="22"/>
          <w:szCs w:val="22"/>
        </w:rPr>
      </w:pPr>
    </w:p>
    <w:p w14:paraId="34D42FB7" w14:textId="77777777" w:rsidR="00375906" w:rsidRPr="00C36E29" w:rsidRDefault="00375906" w:rsidP="00C36E29">
      <w:pPr>
        <w:jc w:val="both"/>
        <w:rPr>
          <w:sz w:val="22"/>
          <w:szCs w:val="22"/>
        </w:rPr>
      </w:pPr>
      <w:r w:rsidRPr="00C36E29">
        <w:rPr>
          <w:sz w:val="22"/>
          <w:szCs w:val="22"/>
        </w:rPr>
        <w:t>IX.</w:t>
      </w:r>
      <w:r w:rsidRPr="00C36E29">
        <w:rPr>
          <w:b/>
          <w:sz w:val="22"/>
          <w:szCs w:val="22"/>
        </w:rPr>
        <w:t xml:space="preserve"> MEETINGS AND REVIEWS</w:t>
      </w:r>
      <w:r w:rsidRPr="00C36E29">
        <w:rPr>
          <w:sz w:val="22"/>
          <w:szCs w:val="22"/>
        </w:rPr>
        <w:t>:  The Contractor shall attend the following meetings and reviews.</w:t>
      </w:r>
    </w:p>
    <w:p w14:paraId="4B376169" w14:textId="77777777" w:rsidR="00375906" w:rsidRPr="00C36E29" w:rsidRDefault="00375906" w:rsidP="00C36E29">
      <w:pPr>
        <w:jc w:val="both"/>
        <w:rPr>
          <w:sz w:val="22"/>
          <w:szCs w:val="22"/>
        </w:rPr>
      </w:pPr>
    </w:p>
    <w:p w14:paraId="26A0E27F" w14:textId="77777777" w:rsidR="00375906" w:rsidRPr="00C36E29" w:rsidRDefault="00375906" w:rsidP="00C36E29">
      <w:pPr>
        <w:ind w:left="360"/>
        <w:jc w:val="both"/>
        <w:rPr>
          <w:sz w:val="22"/>
          <w:szCs w:val="22"/>
        </w:rPr>
      </w:pPr>
      <w:r w:rsidRPr="00C36E29">
        <w:rPr>
          <w:sz w:val="22"/>
          <w:szCs w:val="22"/>
        </w:rPr>
        <w:t xml:space="preserve">A.  Phase II Kick-Off meeting shall be conducted </w:t>
      </w:r>
      <w:r w:rsidR="006F1EF3">
        <w:rPr>
          <w:sz w:val="22"/>
          <w:szCs w:val="22"/>
        </w:rPr>
        <w:t xml:space="preserve">at the contractor’s facility </w:t>
      </w:r>
      <w:r w:rsidRPr="00C36E29">
        <w:rPr>
          <w:sz w:val="22"/>
          <w:szCs w:val="22"/>
        </w:rPr>
        <w:t>not later than thirty (30) calendar days after contract award.  The Contractor shall provide the Government:</w:t>
      </w:r>
    </w:p>
    <w:p w14:paraId="051DE474" w14:textId="77777777" w:rsidR="00375906" w:rsidRPr="00C36E29" w:rsidRDefault="00375906" w:rsidP="00C36E29">
      <w:pPr>
        <w:ind w:left="360"/>
        <w:jc w:val="both"/>
        <w:rPr>
          <w:sz w:val="22"/>
          <w:szCs w:val="22"/>
        </w:rPr>
      </w:pPr>
      <w:r w:rsidRPr="00C36E29">
        <w:rPr>
          <w:sz w:val="22"/>
          <w:szCs w:val="22"/>
        </w:rPr>
        <w:t xml:space="preserve"> </w:t>
      </w:r>
    </w:p>
    <w:p w14:paraId="66D1E019" w14:textId="77777777" w:rsidR="00375906" w:rsidRPr="00C36E29" w:rsidRDefault="00375906" w:rsidP="00C36E29">
      <w:pPr>
        <w:ind w:left="990" w:hanging="270"/>
        <w:jc w:val="both"/>
        <w:rPr>
          <w:sz w:val="22"/>
          <w:szCs w:val="22"/>
        </w:rPr>
      </w:pPr>
      <w:r w:rsidRPr="00C36E29">
        <w:rPr>
          <w:sz w:val="22"/>
          <w:szCs w:val="22"/>
        </w:rPr>
        <w:t xml:space="preserve">1.  A Phase II Kick-Off Meeting Read-Ahead no less than seven (7) calendar days prior to the Phase II Kick-Off Meeting / System Requirements Review Meeting (See CDRL A001). </w:t>
      </w:r>
    </w:p>
    <w:p w14:paraId="1C8F147F" w14:textId="77777777" w:rsidR="00375906" w:rsidRPr="00C36E29" w:rsidRDefault="00375906" w:rsidP="00C36E29">
      <w:pPr>
        <w:pStyle w:val="ListParagraph"/>
        <w:ind w:left="990" w:hanging="270"/>
        <w:jc w:val="both"/>
        <w:rPr>
          <w:sz w:val="22"/>
          <w:szCs w:val="22"/>
        </w:rPr>
      </w:pPr>
    </w:p>
    <w:p w14:paraId="381217D1" w14:textId="5F5FE523" w:rsidR="00375906" w:rsidRPr="00C36E29" w:rsidRDefault="00BD490E" w:rsidP="00C36E29">
      <w:pPr>
        <w:ind w:left="990" w:hanging="270"/>
        <w:jc w:val="both"/>
        <w:rPr>
          <w:sz w:val="22"/>
          <w:szCs w:val="22"/>
        </w:rPr>
      </w:pPr>
      <w:r w:rsidRPr="00C36E29">
        <w:rPr>
          <w:sz w:val="22"/>
          <w:szCs w:val="22"/>
        </w:rPr>
        <w:t xml:space="preserve">2. </w:t>
      </w:r>
      <w:r w:rsidR="00375906" w:rsidRPr="00C36E29">
        <w:rPr>
          <w:sz w:val="22"/>
          <w:szCs w:val="22"/>
        </w:rPr>
        <w:t xml:space="preserve">An initial Program Management Plan for accomplishing all objectives specified in this Statement of Objectives.  (See CDRLs A002).  </w:t>
      </w:r>
    </w:p>
    <w:p w14:paraId="292871F0" w14:textId="77777777" w:rsidR="00375906" w:rsidRPr="00C36E29" w:rsidRDefault="00375906" w:rsidP="00C36E29">
      <w:pPr>
        <w:ind w:left="990" w:hanging="270"/>
        <w:jc w:val="both"/>
        <w:rPr>
          <w:sz w:val="22"/>
          <w:szCs w:val="22"/>
        </w:rPr>
      </w:pPr>
    </w:p>
    <w:p w14:paraId="0FA7C2D5" w14:textId="77777777" w:rsidR="00375906" w:rsidRPr="00C36E29" w:rsidRDefault="00375906" w:rsidP="00C36E29">
      <w:pPr>
        <w:ind w:left="990" w:hanging="270"/>
        <w:jc w:val="both"/>
        <w:rPr>
          <w:sz w:val="22"/>
          <w:szCs w:val="22"/>
        </w:rPr>
      </w:pPr>
      <w:r w:rsidRPr="00C36E29">
        <w:rPr>
          <w:sz w:val="22"/>
          <w:szCs w:val="22"/>
        </w:rPr>
        <w:t>3.  Conceptual Design Drawings no less than ten (10) calendar days prior to the Phase II Kick-Off/System Requirements Review Meeting (See CDRL A001).</w:t>
      </w:r>
    </w:p>
    <w:p w14:paraId="31EA1329" w14:textId="77777777" w:rsidR="00375906" w:rsidRPr="00C36E29" w:rsidRDefault="00375906" w:rsidP="00C36E29">
      <w:pPr>
        <w:jc w:val="both"/>
        <w:rPr>
          <w:sz w:val="22"/>
          <w:szCs w:val="22"/>
        </w:rPr>
      </w:pPr>
    </w:p>
    <w:p w14:paraId="7BEDE50E" w14:textId="77777777" w:rsidR="00375906" w:rsidRPr="00C36E29" w:rsidRDefault="00375906" w:rsidP="00C36E29">
      <w:pPr>
        <w:ind w:left="360"/>
        <w:jc w:val="both"/>
        <w:rPr>
          <w:sz w:val="22"/>
          <w:szCs w:val="22"/>
        </w:rPr>
      </w:pPr>
      <w:r w:rsidRPr="00C36E29">
        <w:rPr>
          <w:sz w:val="22"/>
          <w:szCs w:val="22"/>
        </w:rPr>
        <w:t>B.  Preliminary Design Review (PDR) -</w:t>
      </w:r>
      <w:r w:rsidR="006F1EF3">
        <w:rPr>
          <w:sz w:val="22"/>
          <w:szCs w:val="22"/>
        </w:rPr>
        <w:t xml:space="preserve"> This meeting shall be conducted by teleconference </w:t>
      </w:r>
      <w:r w:rsidRPr="00C36E29">
        <w:rPr>
          <w:sz w:val="22"/>
          <w:szCs w:val="22"/>
        </w:rPr>
        <w:t xml:space="preserve">no more than </w:t>
      </w:r>
      <w:r w:rsidR="00C36E29">
        <w:rPr>
          <w:sz w:val="22"/>
          <w:szCs w:val="22"/>
        </w:rPr>
        <w:t>ninety</w:t>
      </w:r>
      <w:r w:rsidRPr="00C36E29">
        <w:rPr>
          <w:sz w:val="22"/>
          <w:szCs w:val="22"/>
        </w:rPr>
        <w:t xml:space="preserve"> (</w:t>
      </w:r>
      <w:r w:rsidR="00C36E29">
        <w:rPr>
          <w:sz w:val="22"/>
          <w:szCs w:val="22"/>
        </w:rPr>
        <w:t>9</w:t>
      </w:r>
      <w:r w:rsidRPr="00C36E29">
        <w:rPr>
          <w:sz w:val="22"/>
          <w:szCs w:val="22"/>
        </w:rPr>
        <w:t>0) calendar days after Phase II contract award.  The Contractor shall provide teleconference capability</w:t>
      </w:r>
      <w:r w:rsidR="006F1EF3">
        <w:rPr>
          <w:sz w:val="22"/>
          <w:szCs w:val="22"/>
        </w:rPr>
        <w:t xml:space="preserve"> for those participants</w:t>
      </w:r>
      <w:r w:rsidRPr="00C36E29">
        <w:rPr>
          <w:sz w:val="22"/>
          <w:szCs w:val="22"/>
        </w:rPr>
        <w:t xml:space="preserve">.  The Contractor shall provide the Government: </w:t>
      </w:r>
    </w:p>
    <w:p w14:paraId="70795021" w14:textId="77777777" w:rsidR="00375906" w:rsidRPr="00C36E29" w:rsidRDefault="00375906" w:rsidP="00C36E29">
      <w:pPr>
        <w:pStyle w:val="ListParagraph"/>
        <w:jc w:val="both"/>
        <w:rPr>
          <w:sz w:val="22"/>
          <w:szCs w:val="22"/>
        </w:rPr>
      </w:pPr>
    </w:p>
    <w:p w14:paraId="7904008A" w14:textId="77777777" w:rsidR="00375906" w:rsidRPr="00C36E29" w:rsidRDefault="00375906" w:rsidP="00C36E29">
      <w:pPr>
        <w:ind w:left="990" w:hanging="270"/>
        <w:jc w:val="both"/>
        <w:rPr>
          <w:sz w:val="22"/>
          <w:szCs w:val="22"/>
        </w:rPr>
      </w:pPr>
      <w:r w:rsidRPr="00C36E29">
        <w:rPr>
          <w:sz w:val="22"/>
          <w:szCs w:val="22"/>
        </w:rPr>
        <w:t xml:space="preserve">1. </w:t>
      </w:r>
      <w:r w:rsidR="00C25942" w:rsidRPr="00C36E29">
        <w:rPr>
          <w:sz w:val="22"/>
          <w:szCs w:val="22"/>
        </w:rPr>
        <w:t xml:space="preserve"> </w:t>
      </w:r>
      <w:r w:rsidRPr="00C36E29">
        <w:rPr>
          <w:sz w:val="22"/>
          <w:szCs w:val="22"/>
        </w:rPr>
        <w:t>A Preliminary Design Review and Materials Read-Ahead Briefing no less than ten (10) calendar days prior to the PDR (See CDRL A007).</w:t>
      </w:r>
    </w:p>
    <w:p w14:paraId="2995A665" w14:textId="77777777" w:rsidR="00375906" w:rsidRPr="00C36E29" w:rsidRDefault="00375906" w:rsidP="00C36E29">
      <w:pPr>
        <w:ind w:left="990" w:hanging="270"/>
        <w:jc w:val="both"/>
        <w:rPr>
          <w:sz w:val="22"/>
          <w:szCs w:val="22"/>
        </w:rPr>
      </w:pPr>
    </w:p>
    <w:p w14:paraId="6D1D38B2" w14:textId="14B07769" w:rsidR="00375906" w:rsidRPr="00C36E29" w:rsidRDefault="00375906" w:rsidP="00C36E29">
      <w:pPr>
        <w:ind w:left="990" w:hanging="270"/>
        <w:jc w:val="both"/>
        <w:rPr>
          <w:sz w:val="22"/>
          <w:szCs w:val="22"/>
        </w:rPr>
      </w:pPr>
      <w:r w:rsidRPr="00C36E29">
        <w:rPr>
          <w:sz w:val="22"/>
          <w:szCs w:val="22"/>
        </w:rPr>
        <w:t>2.  A Detailed Design Report (See CDRL A00</w:t>
      </w:r>
      <w:r w:rsidR="0069526E">
        <w:rPr>
          <w:sz w:val="22"/>
          <w:szCs w:val="22"/>
        </w:rPr>
        <w:t>7</w:t>
      </w:r>
      <w:r w:rsidRPr="00C36E29">
        <w:rPr>
          <w:sz w:val="22"/>
          <w:szCs w:val="22"/>
        </w:rPr>
        <w:t xml:space="preserve">). </w:t>
      </w:r>
    </w:p>
    <w:p w14:paraId="1514F3DC" w14:textId="77777777" w:rsidR="00375906" w:rsidRPr="00C36E29" w:rsidRDefault="00375906" w:rsidP="00C36E29">
      <w:pPr>
        <w:ind w:left="990" w:hanging="270"/>
        <w:jc w:val="both"/>
        <w:rPr>
          <w:sz w:val="22"/>
          <w:szCs w:val="22"/>
        </w:rPr>
      </w:pPr>
    </w:p>
    <w:p w14:paraId="5FDC07AD" w14:textId="7AFFAE15" w:rsidR="00375906" w:rsidRPr="00C36E29" w:rsidRDefault="00375906" w:rsidP="00C36E29">
      <w:pPr>
        <w:ind w:left="990" w:hanging="270"/>
        <w:jc w:val="both"/>
        <w:rPr>
          <w:sz w:val="22"/>
          <w:szCs w:val="22"/>
        </w:rPr>
      </w:pPr>
      <w:r w:rsidRPr="00C36E29">
        <w:rPr>
          <w:sz w:val="22"/>
          <w:szCs w:val="22"/>
        </w:rPr>
        <w:t>3.  Trade off considerations for the design.  (See CDRL A00</w:t>
      </w:r>
      <w:r w:rsidR="0069526E">
        <w:rPr>
          <w:sz w:val="22"/>
          <w:szCs w:val="22"/>
        </w:rPr>
        <w:t>7</w:t>
      </w:r>
      <w:r w:rsidRPr="00C36E29">
        <w:rPr>
          <w:sz w:val="22"/>
          <w:szCs w:val="22"/>
        </w:rPr>
        <w:t>).</w:t>
      </w:r>
    </w:p>
    <w:p w14:paraId="171F6000" w14:textId="77777777" w:rsidR="00375906" w:rsidRPr="00C36E29" w:rsidRDefault="00375906" w:rsidP="00C36E29">
      <w:pPr>
        <w:ind w:left="990" w:hanging="270"/>
        <w:jc w:val="both"/>
        <w:rPr>
          <w:sz w:val="22"/>
          <w:szCs w:val="22"/>
        </w:rPr>
      </w:pPr>
    </w:p>
    <w:p w14:paraId="29B2A5E9" w14:textId="77777777" w:rsidR="00375906" w:rsidRPr="00C36E29" w:rsidRDefault="00375906" w:rsidP="00C36E29">
      <w:pPr>
        <w:ind w:left="990" w:hanging="270"/>
        <w:jc w:val="both"/>
        <w:rPr>
          <w:sz w:val="22"/>
          <w:szCs w:val="22"/>
        </w:rPr>
      </w:pPr>
      <w:r w:rsidRPr="00C36E29">
        <w:rPr>
          <w:sz w:val="22"/>
          <w:szCs w:val="22"/>
        </w:rPr>
        <w:t>4.  Results of any testing to date.  (See CDRL A004).</w:t>
      </w:r>
    </w:p>
    <w:p w14:paraId="4593A12E" w14:textId="77777777" w:rsidR="00375906" w:rsidRPr="00C36E29" w:rsidRDefault="00375906" w:rsidP="00C36E29">
      <w:pPr>
        <w:ind w:left="990" w:hanging="270"/>
        <w:jc w:val="both"/>
        <w:rPr>
          <w:sz w:val="22"/>
          <w:szCs w:val="22"/>
        </w:rPr>
      </w:pPr>
    </w:p>
    <w:p w14:paraId="4B9B2AC4" w14:textId="77777777" w:rsidR="00375906" w:rsidRPr="00C36E29" w:rsidRDefault="00375906" w:rsidP="00C36E29">
      <w:pPr>
        <w:ind w:left="990" w:hanging="270"/>
        <w:jc w:val="both"/>
        <w:rPr>
          <w:sz w:val="22"/>
          <w:szCs w:val="22"/>
        </w:rPr>
      </w:pPr>
      <w:r w:rsidRPr="00C36E29">
        <w:rPr>
          <w:sz w:val="22"/>
          <w:szCs w:val="22"/>
        </w:rPr>
        <w:t>5.  Resolution to any Contractor/Government issues or concerns.</w:t>
      </w:r>
    </w:p>
    <w:p w14:paraId="1AC47EDE" w14:textId="77777777" w:rsidR="00375906" w:rsidRPr="00C36E29" w:rsidRDefault="00375906" w:rsidP="00C36E29">
      <w:pPr>
        <w:jc w:val="both"/>
        <w:rPr>
          <w:sz w:val="22"/>
          <w:szCs w:val="22"/>
        </w:rPr>
      </w:pPr>
    </w:p>
    <w:p w14:paraId="7F43C012" w14:textId="7C4DDCAD" w:rsidR="00375906" w:rsidRPr="00C36E29" w:rsidRDefault="00375906" w:rsidP="00C36E29">
      <w:pPr>
        <w:ind w:left="990" w:hanging="270"/>
        <w:jc w:val="both"/>
        <w:rPr>
          <w:sz w:val="22"/>
          <w:szCs w:val="22"/>
        </w:rPr>
      </w:pPr>
      <w:r w:rsidRPr="00C36E29">
        <w:rPr>
          <w:sz w:val="22"/>
          <w:szCs w:val="22"/>
        </w:rPr>
        <w:t>6.  An assessment of other potential benefits/impacts of the prototypes, including weight savings, cost reduction, prolonged system life, and a recommendation of any changes for consideration/incorporation into the subsequent design that will be provided to the Government at the follow-on Critical Design Review.  (See CDRL A00</w:t>
      </w:r>
      <w:r w:rsidR="0069526E">
        <w:rPr>
          <w:sz w:val="22"/>
          <w:szCs w:val="22"/>
        </w:rPr>
        <w:t>7</w:t>
      </w:r>
      <w:r w:rsidRPr="00C36E29">
        <w:rPr>
          <w:sz w:val="22"/>
          <w:szCs w:val="22"/>
        </w:rPr>
        <w:t>).</w:t>
      </w:r>
    </w:p>
    <w:p w14:paraId="652C5FEF" w14:textId="77777777" w:rsidR="00375906" w:rsidRPr="00C36E29" w:rsidRDefault="00375906" w:rsidP="00C36E29">
      <w:pPr>
        <w:jc w:val="both"/>
        <w:rPr>
          <w:sz w:val="22"/>
          <w:szCs w:val="22"/>
        </w:rPr>
      </w:pPr>
    </w:p>
    <w:p w14:paraId="72693527" w14:textId="77777777" w:rsidR="00375906" w:rsidRPr="00C36E29" w:rsidRDefault="00375906" w:rsidP="00C36E29">
      <w:pPr>
        <w:ind w:left="720" w:hanging="360"/>
        <w:jc w:val="both"/>
        <w:rPr>
          <w:sz w:val="22"/>
          <w:szCs w:val="22"/>
        </w:rPr>
      </w:pPr>
      <w:r w:rsidRPr="00C36E29">
        <w:rPr>
          <w:sz w:val="22"/>
          <w:szCs w:val="22"/>
        </w:rPr>
        <w:t>C.  Critical Design Review (CDR):  This teleconference meeting shall be arranged by the Contractor two (2) weeks prior to the end of the contract completion date.  The Contractor shall provide the Government:</w:t>
      </w:r>
    </w:p>
    <w:p w14:paraId="4929177F" w14:textId="77777777" w:rsidR="00375906" w:rsidRPr="00C36E29" w:rsidRDefault="00375906" w:rsidP="00C36E29">
      <w:pPr>
        <w:jc w:val="both"/>
        <w:rPr>
          <w:sz w:val="22"/>
          <w:szCs w:val="22"/>
        </w:rPr>
      </w:pPr>
    </w:p>
    <w:p w14:paraId="48774691" w14:textId="77777777" w:rsidR="00375906" w:rsidRPr="00C36E29" w:rsidRDefault="00C25942" w:rsidP="00C36E29">
      <w:pPr>
        <w:ind w:left="1080" w:hanging="360"/>
        <w:jc w:val="both"/>
        <w:rPr>
          <w:sz w:val="22"/>
          <w:szCs w:val="22"/>
        </w:rPr>
      </w:pPr>
      <w:r w:rsidRPr="00C36E29">
        <w:rPr>
          <w:sz w:val="22"/>
          <w:szCs w:val="22"/>
        </w:rPr>
        <w:t xml:space="preserve">1.  </w:t>
      </w:r>
      <w:r w:rsidR="00375906" w:rsidRPr="00C36E29">
        <w:rPr>
          <w:sz w:val="22"/>
          <w:szCs w:val="22"/>
        </w:rPr>
        <w:t>A Critical Design Review and Materials Read-Ahead Briefing no less than ten (10) calendar days prior to the CDR (See CDRL A0</w:t>
      </w:r>
      <w:r w:rsidR="00FB5D52" w:rsidRPr="00C36E29">
        <w:rPr>
          <w:sz w:val="22"/>
          <w:szCs w:val="22"/>
        </w:rPr>
        <w:t>0</w:t>
      </w:r>
      <w:r w:rsidR="00375906" w:rsidRPr="00C36E29">
        <w:rPr>
          <w:sz w:val="22"/>
          <w:szCs w:val="22"/>
        </w:rPr>
        <w:t>8).</w:t>
      </w:r>
    </w:p>
    <w:p w14:paraId="22DB03F1" w14:textId="77777777" w:rsidR="00375906" w:rsidRPr="00C36E29" w:rsidRDefault="00375906" w:rsidP="00C36E29">
      <w:pPr>
        <w:ind w:left="1080" w:hanging="360"/>
        <w:jc w:val="both"/>
        <w:rPr>
          <w:sz w:val="22"/>
          <w:szCs w:val="22"/>
        </w:rPr>
      </w:pPr>
    </w:p>
    <w:p w14:paraId="4732F12B" w14:textId="77777777" w:rsidR="00375906" w:rsidRPr="00C36E29" w:rsidRDefault="00375906" w:rsidP="00C36E29">
      <w:pPr>
        <w:ind w:left="1080" w:hanging="360"/>
        <w:jc w:val="both"/>
        <w:rPr>
          <w:sz w:val="22"/>
          <w:szCs w:val="22"/>
        </w:rPr>
      </w:pPr>
      <w:r w:rsidRPr="00C36E29">
        <w:rPr>
          <w:sz w:val="22"/>
          <w:szCs w:val="22"/>
        </w:rPr>
        <w:t>2.  A Detailed Design Report (See CDRL A008).</w:t>
      </w:r>
    </w:p>
    <w:p w14:paraId="085AD671" w14:textId="77777777" w:rsidR="00375906" w:rsidRPr="00C36E29" w:rsidRDefault="00375906" w:rsidP="00C36E29">
      <w:pPr>
        <w:ind w:left="1080" w:hanging="360"/>
        <w:jc w:val="both"/>
        <w:rPr>
          <w:sz w:val="22"/>
          <w:szCs w:val="22"/>
        </w:rPr>
      </w:pPr>
    </w:p>
    <w:p w14:paraId="1FE15C08" w14:textId="77777777" w:rsidR="00375906" w:rsidRPr="00C36E29" w:rsidRDefault="00375906" w:rsidP="00C36E29">
      <w:pPr>
        <w:ind w:left="1080" w:hanging="360"/>
        <w:jc w:val="both"/>
        <w:rPr>
          <w:sz w:val="22"/>
          <w:szCs w:val="22"/>
        </w:rPr>
      </w:pPr>
      <w:r w:rsidRPr="00C36E29">
        <w:rPr>
          <w:sz w:val="22"/>
          <w:szCs w:val="22"/>
        </w:rPr>
        <w:t>3.  Trade off considerations for the design.  (See CDRL A008).</w:t>
      </w:r>
    </w:p>
    <w:p w14:paraId="2394747A" w14:textId="77777777" w:rsidR="00375906" w:rsidRPr="00C36E29" w:rsidRDefault="00375906" w:rsidP="00C36E29">
      <w:pPr>
        <w:ind w:left="1080" w:hanging="360"/>
        <w:jc w:val="both"/>
        <w:rPr>
          <w:sz w:val="22"/>
          <w:szCs w:val="22"/>
        </w:rPr>
      </w:pPr>
    </w:p>
    <w:p w14:paraId="1145306F" w14:textId="77777777" w:rsidR="00375906" w:rsidRPr="00C36E29" w:rsidRDefault="00375906" w:rsidP="00C36E29">
      <w:pPr>
        <w:ind w:left="1080" w:hanging="360"/>
        <w:jc w:val="both"/>
        <w:rPr>
          <w:sz w:val="22"/>
          <w:szCs w:val="22"/>
        </w:rPr>
      </w:pPr>
      <w:r w:rsidRPr="00C36E29">
        <w:rPr>
          <w:sz w:val="22"/>
          <w:szCs w:val="22"/>
        </w:rPr>
        <w:t>4.  Results of any testing to date.  (See CDRL A004).</w:t>
      </w:r>
    </w:p>
    <w:p w14:paraId="265FCA13" w14:textId="77777777" w:rsidR="00375906" w:rsidRPr="00C36E29" w:rsidRDefault="00375906" w:rsidP="00C36E29">
      <w:pPr>
        <w:ind w:left="1080" w:hanging="360"/>
        <w:jc w:val="both"/>
        <w:rPr>
          <w:sz w:val="22"/>
          <w:szCs w:val="22"/>
        </w:rPr>
      </w:pPr>
    </w:p>
    <w:p w14:paraId="43D7F3C6" w14:textId="77777777" w:rsidR="00375906" w:rsidRPr="00C36E29" w:rsidRDefault="00375906" w:rsidP="00C36E29">
      <w:pPr>
        <w:ind w:left="1080" w:hanging="360"/>
        <w:jc w:val="both"/>
        <w:rPr>
          <w:sz w:val="22"/>
          <w:szCs w:val="22"/>
        </w:rPr>
      </w:pPr>
      <w:r w:rsidRPr="00C36E29">
        <w:rPr>
          <w:sz w:val="22"/>
          <w:szCs w:val="22"/>
        </w:rPr>
        <w:t>5.  Resolution to any Contractor/Government issues or concerns.</w:t>
      </w:r>
    </w:p>
    <w:p w14:paraId="4EAFC799" w14:textId="77777777" w:rsidR="00375906" w:rsidRPr="00C36E29" w:rsidRDefault="00375906" w:rsidP="00C36E29">
      <w:pPr>
        <w:jc w:val="both"/>
        <w:rPr>
          <w:sz w:val="22"/>
          <w:szCs w:val="22"/>
        </w:rPr>
      </w:pPr>
      <w:r w:rsidRPr="00C36E29">
        <w:rPr>
          <w:sz w:val="22"/>
          <w:szCs w:val="22"/>
        </w:rPr>
        <w:t xml:space="preserve">       </w:t>
      </w:r>
    </w:p>
    <w:p w14:paraId="48891C29" w14:textId="4E76315E" w:rsidR="00375906" w:rsidRPr="00C36E29" w:rsidRDefault="00375906" w:rsidP="00C36E29">
      <w:pPr>
        <w:ind w:left="720" w:hanging="360"/>
        <w:jc w:val="both"/>
        <w:rPr>
          <w:sz w:val="22"/>
          <w:szCs w:val="22"/>
        </w:rPr>
      </w:pPr>
      <w:r w:rsidRPr="00C36E29">
        <w:rPr>
          <w:sz w:val="22"/>
          <w:szCs w:val="22"/>
        </w:rPr>
        <w:t>D.  Phase II Close-Out Meeting:  The Phase II Close-Out Meeting shall be conducted in</w:t>
      </w:r>
      <w:r w:rsidR="006F1EF3">
        <w:rPr>
          <w:sz w:val="22"/>
          <w:szCs w:val="22"/>
        </w:rPr>
        <w:t xml:space="preserve"> Tampa, F</w:t>
      </w:r>
      <w:r w:rsidR="003D6940">
        <w:rPr>
          <w:sz w:val="22"/>
          <w:szCs w:val="22"/>
        </w:rPr>
        <w:t>lorida</w:t>
      </w:r>
      <w:r w:rsidRPr="00C36E29">
        <w:rPr>
          <w:sz w:val="22"/>
          <w:szCs w:val="22"/>
        </w:rPr>
        <w:t xml:space="preserve"> no earlier than seven (7) calendar days prior to the conclusion of the Phase II Period of Performance.  The Contractor shall provide the Government:</w:t>
      </w:r>
    </w:p>
    <w:p w14:paraId="4F0A3A18" w14:textId="77777777" w:rsidR="00375906" w:rsidRPr="00C36E29" w:rsidRDefault="00375906" w:rsidP="00C36E29">
      <w:pPr>
        <w:ind w:left="720" w:hanging="360"/>
        <w:jc w:val="both"/>
        <w:rPr>
          <w:sz w:val="22"/>
          <w:szCs w:val="22"/>
        </w:rPr>
      </w:pPr>
    </w:p>
    <w:p w14:paraId="56638575" w14:textId="77777777" w:rsidR="00375906" w:rsidRPr="00C36E29" w:rsidRDefault="00375906" w:rsidP="00C36E29">
      <w:pPr>
        <w:ind w:left="720"/>
        <w:jc w:val="both"/>
        <w:rPr>
          <w:sz w:val="22"/>
          <w:szCs w:val="22"/>
        </w:rPr>
      </w:pPr>
      <w:r w:rsidRPr="00C36E29">
        <w:rPr>
          <w:sz w:val="22"/>
          <w:szCs w:val="22"/>
        </w:rPr>
        <w:t>1.  A briefing on the test verification (See CDRL A004).</w:t>
      </w:r>
    </w:p>
    <w:p w14:paraId="4303B212" w14:textId="77777777" w:rsidR="00375906" w:rsidRPr="00C36E29" w:rsidRDefault="00375906" w:rsidP="00C36E29">
      <w:pPr>
        <w:jc w:val="both"/>
        <w:rPr>
          <w:sz w:val="22"/>
          <w:szCs w:val="22"/>
        </w:rPr>
      </w:pPr>
    </w:p>
    <w:p w14:paraId="7FD32AD6" w14:textId="77777777" w:rsidR="00375906" w:rsidRPr="00C36E29" w:rsidRDefault="00375906" w:rsidP="00C36E29">
      <w:pPr>
        <w:ind w:left="720"/>
        <w:jc w:val="both"/>
        <w:rPr>
          <w:sz w:val="22"/>
          <w:szCs w:val="22"/>
        </w:rPr>
      </w:pPr>
      <w:r w:rsidRPr="00C36E29">
        <w:rPr>
          <w:sz w:val="22"/>
          <w:szCs w:val="22"/>
        </w:rPr>
        <w:t>2.  An update of the progress to date.  (See CDRL A002)</w:t>
      </w:r>
    </w:p>
    <w:p w14:paraId="631F4CD3" w14:textId="77777777" w:rsidR="00375906" w:rsidRPr="00C36E29" w:rsidRDefault="00375906" w:rsidP="00C36E29">
      <w:pPr>
        <w:jc w:val="both"/>
        <w:rPr>
          <w:sz w:val="22"/>
          <w:szCs w:val="22"/>
        </w:rPr>
      </w:pPr>
    </w:p>
    <w:p w14:paraId="42D328DF" w14:textId="77777777" w:rsidR="00375906" w:rsidRPr="00C36E29" w:rsidRDefault="00375906" w:rsidP="00C36E29">
      <w:pPr>
        <w:ind w:left="720"/>
        <w:jc w:val="both"/>
        <w:rPr>
          <w:sz w:val="22"/>
          <w:szCs w:val="22"/>
        </w:rPr>
      </w:pPr>
      <w:r w:rsidRPr="00C36E29">
        <w:rPr>
          <w:sz w:val="22"/>
          <w:szCs w:val="22"/>
        </w:rPr>
        <w:lastRenderedPageBreak/>
        <w:t>3.  Resolution to any Contractor/Government issues or concerns.</w:t>
      </w:r>
    </w:p>
    <w:p w14:paraId="39D3D445" w14:textId="77777777" w:rsidR="00375906" w:rsidRPr="00C36E29" w:rsidRDefault="00375906" w:rsidP="00C36E29">
      <w:pPr>
        <w:jc w:val="both"/>
        <w:rPr>
          <w:sz w:val="22"/>
          <w:szCs w:val="22"/>
        </w:rPr>
      </w:pPr>
    </w:p>
    <w:p w14:paraId="0E832C11" w14:textId="77777777" w:rsidR="00375906" w:rsidRPr="00C36E29" w:rsidRDefault="00375906" w:rsidP="00C36E29">
      <w:pPr>
        <w:jc w:val="both"/>
        <w:rPr>
          <w:sz w:val="22"/>
          <w:szCs w:val="22"/>
        </w:rPr>
      </w:pPr>
      <w:r w:rsidRPr="00C36E29">
        <w:rPr>
          <w:sz w:val="22"/>
          <w:szCs w:val="22"/>
        </w:rPr>
        <w:t>X.</w:t>
      </w:r>
      <w:r w:rsidRPr="00C36E29">
        <w:rPr>
          <w:b/>
          <w:sz w:val="22"/>
          <w:szCs w:val="22"/>
        </w:rPr>
        <w:t xml:space="preserve">  NOTIFICATION:</w:t>
      </w:r>
      <w:r w:rsidRPr="00C36E29">
        <w:rPr>
          <w:sz w:val="22"/>
          <w:szCs w:val="22"/>
        </w:rPr>
        <w:t xml:space="preserve">  The Contractor shall notify USSOCOM no less than thirty (30) calendar days prior to tests, demonstrations and reviews at the Contractor’s facilities to ensure USSOCOM representatives can attend should they desire to do so.</w:t>
      </w:r>
    </w:p>
    <w:p w14:paraId="593E4936" w14:textId="77777777" w:rsidR="00375906" w:rsidRPr="00C36E29" w:rsidRDefault="00375906" w:rsidP="00C36E29">
      <w:pPr>
        <w:ind w:left="360"/>
        <w:jc w:val="both"/>
        <w:rPr>
          <w:sz w:val="22"/>
          <w:szCs w:val="22"/>
        </w:rPr>
      </w:pPr>
    </w:p>
    <w:p w14:paraId="458B8FEF" w14:textId="77777777" w:rsidR="00375906" w:rsidRPr="00C36E29" w:rsidRDefault="00375906" w:rsidP="00C36E29">
      <w:pPr>
        <w:jc w:val="both"/>
        <w:rPr>
          <w:sz w:val="22"/>
          <w:szCs w:val="22"/>
        </w:rPr>
      </w:pPr>
      <w:r w:rsidRPr="00C36E29">
        <w:rPr>
          <w:sz w:val="22"/>
          <w:szCs w:val="22"/>
        </w:rPr>
        <w:t>XI.</w:t>
      </w:r>
      <w:r w:rsidRPr="00C36E29">
        <w:rPr>
          <w:b/>
          <w:sz w:val="22"/>
          <w:szCs w:val="22"/>
        </w:rPr>
        <w:t xml:space="preserve">  TRAVEL REQUIREMENTS:</w:t>
      </w:r>
      <w:r w:rsidRPr="00C36E29">
        <w:rPr>
          <w:sz w:val="22"/>
          <w:szCs w:val="22"/>
        </w:rPr>
        <w:t xml:space="preserve">  </w:t>
      </w:r>
      <w:r w:rsidR="00C36E29" w:rsidRPr="00C36E29">
        <w:rPr>
          <w:sz w:val="22"/>
          <w:szCs w:val="22"/>
        </w:rPr>
        <w:t>If the PDR and CDR are not conducted virtually and travel is required, the Contractor shall comply with the Federal Acquisition Regulation 31.205-46 (http://www.gsa.gov/perdiem) on proposing all travel related costs.  If required, the Contractor shall include the costs associated with the following travel requirements in the proposal</w:t>
      </w:r>
      <w:r w:rsidRPr="00C36E29">
        <w:rPr>
          <w:sz w:val="22"/>
          <w:szCs w:val="22"/>
        </w:rPr>
        <w:t>:</w:t>
      </w:r>
    </w:p>
    <w:p w14:paraId="161D8C35" w14:textId="77777777" w:rsidR="00375906" w:rsidRPr="00F64FFB" w:rsidRDefault="00375906" w:rsidP="00F64FFB">
      <w:pPr>
        <w:jc w:val="both"/>
        <w:rPr>
          <w:sz w:val="22"/>
          <w:szCs w:val="22"/>
        </w:rPr>
      </w:pPr>
    </w:p>
    <w:p w14:paraId="06989291" w14:textId="18981286" w:rsidR="00375906" w:rsidRPr="00C36E29" w:rsidRDefault="00375906" w:rsidP="00C36E29">
      <w:pPr>
        <w:pStyle w:val="ListParagraph"/>
        <w:numPr>
          <w:ilvl w:val="0"/>
          <w:numId w:val="6"/>
        </w:numPr>
        <w:jc w:val="both"/>
        <w:rPr>
          <w:sz w:val="22"/>
          <w:szCs w:val="22"/>
        </w:rPr>
      </w:pPr>
      <w:r w:rsidRPr="00C36E29">
        <w:rPr>
          <w:sz w:val="22"/>
          <w:szCs w:val="22"/>
        </w:rPr>
        <w:t xml:space="preserve">Phase II System Testing: </w:t>
      </w:r>
      <w:r w:rsidR="00F64FFB">
        <w:rPr>
          <w:sz w:val="22"/>
          <w:szCs w:val="22"/>
        </w:rPr>
        <w:t xml:space="preserve">Crane, </w:t>
      </w:r>
      <w:r w:rsidR="003D6940">
        <w:rPr>
          <w:sz w:val="22"/>
          <w:szCs w:val="22"/>
        </w:rPr>
        <w:t>Indiana</w:t>
      </w:r>
      <w:r w:rsidRPr="00C36E29">
        <w:rPr>
          <w:sz w:val="22"/>
          <w:szCs w:val="22"/>
        </w:rPr>
        <w:t xml:space="preserve">; up to </w:t>
      </w:r>
      <w:r w:rsidR="00F64FFB">
        <w:rPr>
          <w:sz w:val="22"/>
          <w:szCs w:val="22"/>
        </w:rPr>
        <w:t>two</w:t>
      </w:r>
      <w:r w:rsidRPr="00C36E29">
        <w:rPr>
          <w:sz w:val="22"/>
          <w:szCs w:val="22"/>
        </w:rPr>
        <w:t xml:space="preserve"> (</w:t>
      </w:r>
      <w:r w:rsidR="00F64FFB">
        <w:rPr>
          <w:sz w:val="22"/>
          <w:szCs w:val="22"/>
        </w:rPr>
        <w:t>2</w:t>
      </w:r>
      <w:r w:rsidRPr="00C36E29">
        <w:rPr>
          <w:sz w:val="22"/>
          <w:szCs w:val="22"/>
        </w:rPr>
        <w:t xml:space="preserve">) </w:t>
      </w:r>
      <w:r w:rsidR="00C8004A" w:rsidRPr="00C36E29">
        <w:rPr>
          <w:sz w:val="22"/>
          <w:szCs w:val="22"/>
        </w:rPr>
        <w:t>three-day</w:t>
      </w:r>
      <w:r w:rsidRPr="00C36E29">
        <w:rPr>
          <w:sz w:val="22"/>
          <w:szCs w:val="22"/>
        </w:rPr>
        <w:t xml:space="preserve"> overnight trips, no more than three (3) Contractor representatives.</w:t>
      </w:r>
    </w:p>
    <w:p w14:paraId="263B78D4" w14:textId="77777777" w:rsidR="00375906" w:rsidRPr="00C36E29" w:rsidRDefault="00375906" w:rsidP="00C36E29">
      <w:pPr>
        <w:pStyle w:val="ListParagraph"/>
        <w:jc w:val="both"/>
        <w:rPr>
          <w:sz w:val="22"/>
          <w:szCs w:val="22"/>
        </w:rPr>
      </w:pPr>
    </w:p>
    <w:p w14:paraId="529720AD" w14:textId="77777777" w:rsidR="00375906" w:rsidRPr="00C36E29" w:rsidRDefault="00375906" w:rsidP="00C36E29">
      <w:pPr>
        <w:pStyle w:val="ListParagraph"/>
        <w:numPr>
          <w:ilvl w:val="0"/>
          <w:numId w:val="6"/>
        </w:numPr>
        <w:jc w:val="both"/>
        <w:rPr>
          <w:sz w:val="22"/>
          <w:szCs w:val="22"/>
        </w:rPr>
      </w:pPr>
      <w:r w:rsidRPr="00C36E29">
        <w:rPr>
          <w:sz w:val="22"/>
          <w:szCs w:val="22"/>
        </w:rPr>
        <w:t xml:space="preserve">Phase II Close-Out Meeting:  Tampa, Florida; one (1) overnight, no more than three (3) Contractor representatives. </w:t>
      </w:r>
    </w:p>
    <w:p w14:paraId="0ACD6784" w14:textId="77777777" w:rsidR="00375906" w:rsidRPr="00C36E29" w:rsidRDefault="00375906" w:rsidP="00C36E29">
      <w:pPr>
        <w:ind w:left="360"/>
        <w:jc w:val="both"/>
        <w:rPr>
          <w:sz w:val="22"/>
          <w:szCs w:val="22"/>
        </w:rPr>
      </w:pPr>
    </w:p>
    <w:p w14:paraId="0508DE31" w14:textId="77777777" w:rsidR="00375906" w:rsidRPr="00C36E29" w:rsidRDefault="00375906" w:rsidP="00C36E29">
      <w:pPr>
        <w:jc w:val="both"/>
        <w:rPr>
          <w:b/>
          <w:sz w:val="22"/>
          <w:szCs w:val="22"/>
        </w:rPr>
      </w:pPr>
      <w:r w:rsidRPr="00C36E29">
        <w:rPr>
          <w:sz w:val="22"/>
          <w:szCs w:val="22"/>
        </w:rPr>
        <w:t>XII</w:t>
      </w:r>
      <w:r w:rsidRPr="00C36E29">
        <w:rPr>
          <w:b/>
          <w:sz w:val="22"/>
          <w:szCs w:val="22"/>
        </w:rPr>
        <w:t>.  DISCLOSURE OF UNCLASSIFIED INFORMATION:</w:t>
      </w:r>
    </w:p>
    <w:p w14:paraId="4040A9DC" w14:textId="77777777" w:rsidR="00375906" w:rsidRDefault="00375906" w:rsidP="00C36E29">
      <w:pPr>
        <w:jc w:val="both"/>
        <w:rPr>
          <w:sz w:val="22"/>
          <w:szCs w:val="22"/>
        </w:rPr>
      </w:pPr>
    </w:p>
    <w:p w14:paraId="0BC12F46" w14:textId="77777777" w:rsidR="00375906" w:rsidRDefault="00375906" w:rsidP="00C36E29">
      <w:pPr>
        <w:jc w:val="both"/>
        <w:rPr>
          <w:sz w:val="22"/>
          <w:szCs w:val="22"/>
        </w:rPr>
      </w:pPr>
      <w:r>
        <w:rPr>
          <w:sz w:val="22"/>
          <w:szCs w:val="22"/>
        </w:rPr>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0D3F3573" w14:textId="77777777" w:rsidR="00375906" w:rsidRDefault="00375906" w:rsidP="00C36E29">
      <w:pPr>
        <w:jc w:val="both"/>
        <w:rPr>
          <w:sz w:val="22"/>
          <w:szCs w:val="22"/>
        </w:rPr>
      </w:pPr>
    </w:p>
    <w:p w14:paraId="4CF225EA" w14:textId="77777777" w:rsidR="00375906" w:rsidRDefault="00375906" w:rsidP="00C36E29">
      <w:pPr>
        <w:jc w:val="both"/>
        <w:rPr>
          <w:sz w:val="22"/>
          <w:szCs w:val="22"/>
        </w:rPr>
      </w:pPr>
      <w:r>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00A55123" w14:textId="77777777" w:rsidR="00375906" w:rsidRDefault="00375906" w:rsidP="00C36E29">
      <w:pPr>
        <w:jc w:val="both"/>
        <w:rPr>
          <w:sz w:val="22"/>
          <w:szCs w:val="22"/>
        </w:rPr>
      </w:pPr>
    </w:p>
    <w:p w14:paraId="612657FF" w14:textId="77777777" w:rsidR="00375906" w:rsidRDefault="00375906" w:rsidP="00C36E29">
      <w:pPr>
        <w:jc w:val="both"/>
        <w:rPr>
          <w:sz w:val="22"/>
          <w:szCs w:val="22"/>
        </w:rPr>
      </w:pPr>
      <w:r>
        <w:rPr>
          <w:sz w:val="22"/>
          <w:szCs w:val="22"/>
        </w:rPr>
        <w:t>C.  The Contractor shall include a similar requirement in each subcontract under this contract.  Subcontractors shall submit requests for authorization to release through the prime contractor to the Contracting Officer.</w:t>
      </w:r>
    </w:p>
    <w:p w14:paraId="170AB8E4" w14:textId="77777777" w:rsidR="00375906" w:rsidRDefault="00375906" w:rsidP="00C36E29">
      <w:pPr>
        <w:jc w:val="both"/>
        <w:rPr>
          <w:sz w:val="22"/>
          <w:szCs w:val="22"/>
        </w:rPr>
      </w:pPr>
    </w:p>
    <w:p w14:paraId="1163CD4F" w14:textId="77777777" w:rsidR="00375906" w:rsidRDefault="00375906" w:rsidP="00C36E29">
      <w:pPr>
        <w:jc w:val="both"/>
      </w:pPr>
      <w:r>
        <w:rPr>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CC8184E" w14:textId="77777777" w:rsidR="004B164E" w:rsidRDefault="004B164E" w:rsidP="00C36E29">
      <w:pPr>
        <w:jc w:val="both"/>
      </w:pPr>
    </w:p>
    <w:sectPr w:rsidR="004B16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6505" w14:textId="77777777" w:rsidR="00497613" w:rsidRDefault="00497613" w:rsidP="004B164E">
      <w:r>
        <w:separator/>
      </w:r>
    </w:p>
  </w:endnote>
  <w:endnote w:type="continuationSeparator" w:id="0">
    <w:p w14:paraId="10B06FD2" w14:textId="77777777" w:rsidR="00497613" w:rsidRDefault="00497613" w:rsidP="004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430179"/>
      <w:docPartObj>
        <w:docPartGallery w:val="Page Numbers (Bottom of Page)"/>
        <w:docPartUnique/>
      </w:docPartObj>
    </w:sdtPr>
    <w:sdtEndPr>
      <w:rPr>
        <w:noProof/>
      </w:rPr>
    </w:sdtEndPr>
    <w:sdtContent>
      <w:p w14:paraId="25E83D2C" w14:textId="77777777" w:rsidR="00F64FFB" w:rsidRDefault="00F64FFB" w:rsidP="00F64FF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428C" w14:textId="77777777" w:rsidR="00497613" w:rsidRDefault="00497613" w:rsidP="004B164E">
      <w:r>
        <w:separator/>
      </w:r>
    </w:p>
  </w:footnote>
  <w:footnote w:type="continuationSeparator" w:id="0">
    <w:p w14:paraId="24B7CCA9" w14:textId="77777777" w:rsidR="00497613" w:rsidRDefault="00497613" w:rsidP="004B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5D87" w14:textId="77777777" w:rsidR="004B164E" w:rsidRDefault="004B164E" w:rsidP="004B164E">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6C2"/>
    <w:multiLevelType w:val="hybridMultilevel"/>
    <w:tmpl w:val="F3DA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24D02"/>
    <w:multiLevelType w:val="hybridMultilevel"/>
    <w:tmpl w:val="3C7859EE"/>
    <w:lvl w:ilvl="0" w:tplc="628E812A">
      <w:start w:val="1"/>
      <w:numFmt w:val="upperLetter"/>
      <w:lvlText w:val="%1."/>
      <w:lvlJc w:val="left"/>
      <w:pPr>
        <w:ind w:left="720" w:hanging="360"/>
      </w:pPr>
      <w:rPr>
        <w:rFonts w:hint="default"/>
        <w:b w:val="0"/>
      </w:rPr>
    </w:lvl>
    <w:lvl w:ilvl="1" w:tplc="F16C46A6">
      <w:start w:val="1"/>
      <w:numFmt w:val="decimal"/>
      <w:lvlText w:val="%2."/>
      <w:lvlJc w:val="left"/>
      <w:pPr>
        <w:ind w:left="1080" w:hanging="360"/>
      </w:pPr>
      <w:rPr>
        <w:b w:val="0"/>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4361A"/>
    <w:multiLevelType w:val="hybridMultilevel"/>
    <w:tmpl w:val="DCD6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446"/>
    <w:multiLevelType w:val="hybridMultilevel"/>
    <w:tmpl w:val="3E301C94"/>
    <w:lvl w:ilvl="0" w:tplc="733AD99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E"/>
    <w:rsid w:val="000650C4"/>
    <w:rsid w:val="000C1A11"/>
    <w:rsid w:val="00107C2A"/>
    <w:rsid w:val="00110C13"/>
    <w:rsid w:val="00152E55"/>
    <w:rsid w:val="001B744A"/>
    <w:rsid w:val="00216884"/>
    <w:rsid w:val="00222D2D"/>
    <w:rsid w:val="002571DA"/>
    <w:rsid w:val="002B51FE"/>
    <w:rsid w:val="00375906"/>
    <w:rsid w:val="003D6940"/>
    <w:rsid w:val="00497613"/>
    <w:rsid w:val="004B164E"/>
    <w:rsid w:val="00516BF9"/>
    <w:rsid w:val="006545B7"/>
    <w:rsid w:val="0069526E"/>
    <w:rsid w:val="006B1F58"/>
    <w:rsid w:val="006C2F2F"/>
    <w:rsid w:val="006C6A32"/>
    <w:rsid w:val="006F1EF3"/>
    <w:rsid w:val="00896CC0"/>
    <w:rsid w:val="00941B7B"/>
    <w:rsid w:val="009F5D7E"/>
    <w:rsid w:val="00A31120"/>
    <w:rsid w:val="00B142AC"/>
    <w:rsid w:val="00BD490E"/>
    <w:rsid w:val="00C25942"/>
    <w:rsid w:val="00C2612E"/>
    <w:rsid w:val="00C36E29"/>
    <w:rsid w:val="00C8004A"/>
    <w:rsid w:val="00D06381"/>
    <w:rsid w:val="00D503CD"/>
    <w:rsid w:val="00E068E4"/>
    <w:rsid w:val="00E27A71"/>
    <w:rsid w:val="00E45229"/>
    <w:rsid w:val="00E77C1B"/>
    <w:rsid w:val="00E95E48"/>
    <w:rsid w:val="00F64FFB"/>
    <w:rsid w:val="00FA572E"/>
    <w:rsid w:val="00FB5D52"/>
    <w:rsid w:val="00F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7469"/>
  <w15:chartTrackingRefBased/>
  <w15:docId w15:val="{8E0B5474-6F5D-43B9-88E9-B9235A5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E"/>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64E"/>
    <w:pPr>
      <w:tabs>
        <w:tab w:val="center" w:pos="4680"/>
        <w:tab w:val="right" w:pos="9360"/>
      </w:tabs>
    </w:pPr>
  </w:style>
  <w:style w:type="character" w:customStyle="1" w:styleId="HeaderChar">
    <w:name w:val="Header Char"/>
    <w:basedOn w:val="DefaultParagraphFont"/>
    <w:link w:val="Header"/>
    <w:uiPriority w:val="99"/>
    <w:rsid w:val="004B164E"/>
  </w:style>
  <w:style w:type="paragraph" w:styleId="Footer">
    <w:name w:val="footer"/>
    <w:basedOn w:val="Normal"/>
    <w:link w:val="FooterChar"/>
    <w:uiPriority w:val="99"/>
    <w:unhideWhenUsed/>
    <w:rsid w:val="004B164E"/>
    <w:pPr>
      <w:tabs>
        <w:tab w:val="center" w:pos="4680"/>
        <w:tab w:val="right" w:pos="9360"/>
      </w:tabs>
    </w:pPr>
  </w:style>
  <w:style w:type="character" w:customStyle="1" w:styleId="FooterChar">
    <w:name w:val="Footer Char"/>
    <w:basedOn w:val="DefaultParagraphFont"/>
    <w:link w:val="Footer"/>
    <w:uiPriority w:val="99"/>
    <w:rsid w:val="004B164E"/>
  </w:style>
  <w:style w:type="paragraph" w:customStyle="1" w:styleId="Default">
    <w:name w:val="Default"/>
    <w:rsid w:val="004B1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164E"/>
    <w:pPr>
      <w:ind w:left="720"/>
      <w:contextualSpacing/>
    </w:pPr>
  </w:style>
  <w:style w:type="character" w:styleId="Hyperlink">
    <w:name w:val="Hyperlink"/>
    <w:basedOn w:val="DefaultParagraphFont"/>
    <w:rsid w:val="00654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2229">
      <w:bodyDiv w:val="1"/>
      <w:marLeft w:val="0"/>
      <w:marRight w:val="0"/>
      <w:marTop w:val="0"/>
      <w:marBottom w:val="0"/>
      <w:divBdr>
        <w:top w:val="none" w:sz="0" w:space="0" w:color="auto"/>
        <w:left w:val="none" w:sz="0" w:space="0" w:color="auto"/>
        <w:bottom w:val="none" w:sz="0" w:space="0" w:color="auto"/>
        <w:right w:val="none" w:sz="0" w:space="0" w:color="auto"/>
      </w:divBdr>
    </w:div>
    <w:div w:id="485364876">
      <w:bodyDiv w:val="1"/>
      <w:marLeft w:val="0"/>
      <w:marRight w:val="0"/>
      <w:marTop w:val="0"/>
      <w:marBottom w:val="0"/>
      <w:divBdr>
        <w:top w:val="none" w:sz="0" w:space="0" w:color="auto"/>
        <w:left w:val="none" w:sz="0" w:space="0" w:color="auto"/>
        <w:bottom w:val="none" w:sz="0" w:space="0" w:color="auto"/>
        <w:right w:val="none" w:sz="0" w:space="0" w:color="auto"/>
      </w:divBdr>
    </w:div>
    <w:div w:id="1940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UID/guid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q.osd.mil/dpap/UID/uid_types.htm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everyspec.com/MIL-STD/MIL-STD-0800-0899/MIL-STD-810H_55998/" TargetMode="External"/><Relationship Id="rId4" Type="http://schemas.openxmlformats.org/officeDocument/2006/relationships/webSettings" Target="webSettings.xml"/><Relationship Id="rId9" Type="http://schemas.openxmlformats.org/officeDocument/2006/relationships/hyperlink" Target="http://everyspec.com/MIL-STD/MIL-STD-1800-1999/MIL-STD-1913_17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7D0364BF-2C4A-4DB3-ACF6-99F89D7DF09B}"/>
</file>

<file path=customXml/itemProps2.xml><?xml version="1.0" encoding="utf-8"?>
<ds:datastoreItem xmlns:ds="http://schemas.openxmlformats.org/officeDocument/2006/customXml" ds:itemID="{09821E65-FBD4-4150-963E-2B5C206E35C6}"/>
</file>

<file path=customXml/itemProps3.xml><?xml version="1.0" encoding="utf-8"?>
<ds:datastoreItem xmlns:ds="http://schemas.openxmlformats.org/officeDocument/2006/customXml" ds:itemID="{AD4892E9-8782-48C1-A4BB-01BA2743845E}"/>
</file>

<file path=docProps/app.xml><?xml version="1.0" encoding="utf-8"?>
<Properties xmlns="http://schemas.openxmlformats.org/officeDocument/2006/extended-properties" xmlns:vt="http://schemas.openxmlformats.org/officeDocument/2006/docPropsVTypes">
  <Template>Normal.dotm</Template>
  <TotalTime>26</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David S CIV USN NAVSUPPACT CRANE IN (USA)</dc:creator>
  <cp:keywords/>
  <dc:description/>
  <cp:lastModifiedBy>Piazza, Thomas J  CTR USSOCOM SOCOM (USA)</cp:lastModifiedBy>
  <cp:revision>15</cp:revision>
  <dcterms:created xsi:type="dcterms:W3CDTF">2021-06-28T15:06:00Z</dcterms:created>
  <dcterms:modified xsi:type="dcterms:W3CDTF">2021-10-13T12:02:00Z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