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0708" w14:textId="77777777" w:rsidR="004B164E" w:rsidRDefault="004B164E" w:rsidP="00CE47F0">
      <w:pPr>
        <w:jc w:val="center"/>
        <w:rPr>
          <w:b/>
          <w:caps/>
        </w:rPr>
      </w:pPr>
      <w:r w:rsidRPr="001B10CE">
        <w:rPr>
          <w:b/>
          <w:caps/>
        </w:rPr>
        <w:t>SMA</w:t>
      </w:r>
      <w:r>
        <w:rPr>
          <w:b/>
          <w:caps/>
        </w:rPr>
        <w:t>LL BUSINESS INNOVATION RESEARCH</w:t>
      </w:r>
    </w:p>
    <w:p w14:paraId="1B4CA66F" w14:textId="77777777" w:rsidR="004B164E" w:rsidRDefault="004B164E" w:rsidP="00CE47F0">
      <w:pPr>
        <w:jc w:val="center"/>
        <w:rPr>
          <w:b/>
          <w:caps/>
        </w:rPr>
      </w:pPr>
    </w:p>
    <w:p w14:paraId="6699B2B5" w14:textId="77777777" w:rsidR="004B164E" w:rsidRDefault="004B164E" w:rsidP="00CE47F0">
      <w:pPr>
        <w:jc w:val="center"/>
        <w:rPr>
          <w:b/>
          <w:caps/>
        </w:rPr>
      </w:pPr>
      <w:r>
        <w:rPr>
          <w:b/>
          <w:caps/>
        </w:rPr>
        <w:t xml:space="preserve">phase ii statement of objectives </w:t>
      </w:r>
      <w:r w:rsidR="00015CF9">
        <w:rPr>
          <w:b/>
          <w:caps/>
        </w:rPr>
        <w:t>(SOO)</w:t>
      </w:r>
    </w:p>
    <w:p w14:paraId="3169C769" w14:textId="77777777" w:rsidR="004B164E" w:rsidRDefault="004B164E" w:rsidP="00CE47F0">
      <w:pPr>
        <w:jc w:val="center"/>
        <w:rPr>
          <w:b/>
          <w:caps/>
        </w:rPr>
      </w:pPr>
      <w:r>
        <w:rPr>
          <w:b/>
          <w:caps/>
        </w:rPr>
        <w:t>for</w:t>
      </w:r>
    </w:p>
    <w:p w14:paraId="4213D213" w14:textId="41D38813" w:rsidR="004B164E" w:rsidRDefault="00187ED2" w:rsidP="00CE47F0">
      <w:pPr>
        <w:jc w:val="center"/>
        <w:rPr>
          <w:b/>
          <w:caps/>
        </w:rPr>
      </w:pPr>
      <w:r w:rsidRPr="00187ED2">
        <w:rPr>
          <w:b/>
          <w:caps/>
        </w:rPr>
        <w:t xml:space="preserve">High Performance Lightweight White Phosphor Image Intensification Clip-On </w:t>
      </w:r>
      <w:r w:rsidR="00521DAF">
        <w:rPr>
          <w:b/>
          <w:caps/>
        </w:rPr>
        <w:t xml:space="preserve">  </w:t>
      </w:r>
    </w:p>
    <w:p w14:paraId="5EEA7ED5" w14:textId="77777777" w:rsidR="00521DAF" w:rsidRDefault="00521DAF" w:rsidP="00CE47F0">
      <w:pPr>
        <w:jc w:val="center"/>
        <w:rPr>
          <w:b/>
          <w:caps/>
        </w:rPr>
      </w:pPr>
    </w:p>
    <w:p w14:paraId="0D6EEEF5" w14:textId="33CEB129" w:rsidR="00015CF9" w:rsidRDefault="00015CF9" w:rsidP="00CE47F0">
      <w:pPr>
        <w:jc w:val="center"/>
        <w:rPr>
          <w:b/>
          <w:caps/>
        </w:rPr>
      </w:pPr>
      <w:r w:rsidRPr="00521DAF">
        <w:rPr>
          <w:b/>
          <w:caps/>
        </w:rPr>
        <w:t>SOCOM213-D00</w:t>
      </w:r>
      <w:r w:rsidR="00455A07">
        <w:rPr>
          <w:b/>
          <w:caps/>
        </w:rPr>
        <w:t>7</w:t>
      </w:r>
    </w:p>
    <w:p w14:paraId="4AB6271B" w14:textId="77777777" w:rsidR="00521DAF" w:rsidRDefault="00521DAF" w:rsidP="00CE47F0">
      <w:pPr>
        <w:jc w:val="center"/>
        <w:rPr>
          <w:b/>
          <w:caps/>
        </w:rPr>
      </w:pPr>
    </w:p>
    <w:p w14:paraId="57B7282C" w14:textId="3DF9A709" w:rsidR="004B164E" w:rsidRDefault="004B164E" w:rsidP="00521DAF">
      <w:pPr>
        <w:jc w:val="center"/>
        <w:rPr>
          <w:b/>
          <w:caps/>
        </w:rPr>
      </w:pPr>
      <w:r>
        <w:rPr>
          <w:b/>
          <w:caps/>
        </w:rPr>
        <w:t>2</w:t>
      </w:r>
      <w:r w:rsidR="00DB6DA2">
        <w:rPr>
          <w:b/>
          <w:caps/>
        </w:rPr>
        <w:t>1</w:t>
      </w:r>
      <w:r w:rsidR="00521DAF">
        <w:rPr>
          <w:b/>
          <w:caps/>
        </w:rPr>
        <w:t xml:space="preserve"> July </w:t>
      </w:r>
      <w:r>
        <w:rPr>
          <w:b/>
          <w:caps/>
        </w:rPr>
        <w:t xml:space="preserve">2021 </w:t>
      </w:r>
    </w:p>
    <w:p w14:paraId="6B047B58" w14:textId="77777777" w:rsidR="00521DAF" w:rsidRDefault="00521DAF" w:rsidP="00521DAF">
      <w:pPr>
        <w:jc w:val="center"/>
        <w:rPr>
          <w:b/>
          <w:caps/>
        </w:rPr>
      </w:pPr>
    </w:p>
    <w:p w14:paraId="288CF614" w14:textId="77777777" w:rsidR="004B164E" w:rsidRPr="0056757C" w:rsidRDefault="004B164E" w:rsidP="00CE47F0">
      <w:pPr>
        <w:jc w:val="both"/>
        <w:rPr>
          <w:sz w:val="22"/>
          <w:szCs w:val="22"/>
        </w:rPr>
      </w:pPr>
      <w:r w:rsidRPr="004B164E">
        <w:rPr>
          <w:sz w:val="22"/>
          <w:szCs w:val="22"/>
        </w:rPr>
        <w:t>I.</w:t>
      </w:r>
      <w:r w:rsidRPr="004B164E">
        <w:rPr>
          <w:b/>
          <w:sz w:val="22"/>
          <w:szCs w:val="22"/>
        </w:rPr>
        <w:t xml:space="preserve">  INTERNATIONAL TRAFFIC AND ARMS REGULATION:</w:t>
      </w:r>
      <w:r w:rsidRPr="004B164E">
        <w:rPr>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r w:rsidR="00110C13">
        <w:rPr>
          <w:sz w:val="22"/>
          <w:szCs w:val="22"/>
        </w:rPr>
        <w:t xml:space="preserve"> </w:t>
      </w:r>
      <w:r w:rsidRPr="004B164E">
        <w:rPr>
          <w:sz w:val="22"/>
          <w:szCs w:val="22"/>
        </w:rPr>
        <w:t>Additionally, Offerors will describe compliance mechanisms offerors have in place or will put in place to address any ITAR issues that arise during the course of agreement administration.</w:t>
      </w:r>
    </w:p>
    <w:p w14:paraId="42C92BCA" w14:textId="77777777" w:rsidR="004B164E" w:rsidRPr="00B24A63" w:rsidRDefault="004B164E" w:rsidP="00CE47F0">
      <w:pPr>
        <w:jc w:val="both"/>
        <w:rPr>
          <w:sz w:val="22"/>
          <w:szCs w:val="22"/>
        </w:rPr>
      </w:pPr>
    </w:p>
    <w:p w14:paraId="3AA1CC02" w14:textId="77777777" w:rsidR="004B164E" w:rsidRDefault="004B164E" w:rsidP="00CE47F0">
      <w:pPr>
        <w:jc w:val="both"/>
        <w:rPr>
          <w:sz w:val="22"/>
          <w:szCs w:val="22"/>
        </w:rPr>
      </w:pPr>
      <w:r w:rsidRPr="00F17DAF">
        <w:rPr>
          <w:sz w:val="22"/>
          <w:szCs w:val="22"/>
        </w:rPr>
        <w:t>II.</w:t>
      </w:r>
      <w:r>
        <w:rPr>
          <w:b/>
          <w:sz w:val="22"/>
          <w:szCs w:val="22"/>
        </w:rPr>
        <w:t xml:space="preserve">  </w:t>
      </w:r>
      <w:r w:rsidRPr="00B24A63">
        <w:rPr>
          <w:b/>
          <w:sz w:val="22"/>
          <w:szCs w:val="22"/>
        </w:rPr>
        <w:t>BACKGROUND</w:t>
      </w:r>
      <w:r w:rsidRPr="00B24A63">
        <w:rPr>
          <w:sz w:val="22"/>
          <w:szCs w:val="22"/>
        </w:rPr>
        <w:t>:</w:t>
      </w:r>
      <w:r>
        <w:rPr>
          <w:sz w:val="22"/>
          <w:szCs w:val="22"/>
        </w:rPr>
        <w:t xml:space="preserve"> </w:t>
      </w:r>
    </w:p>
    <w:p w14:paraId="6C1C4A95" w14:textId="77777777" w:rsidR="004B164E" w:rsidRDefault="004B164E" w:rsidP="00CE47F0">
      <w:pPr>
        <w:jc w:val="both"/>
        <w:rPr>
          <w:b/>
          <w:caps/>
        </w:rPr>
      </w:pPr>
    </w:p>
    <w:p w14:paraId="14661883" w14:textId="0737CE84" w:rsidR="005A7AC6" w:rsidRPr="009F5D7E" w:rsidRDefault="00BE05A8" w:rsidP="00CE47F0">
      <w:pPr>
        <w:jc w:val="both"/>
        <w:rPr>
          <w:sz w:val="22"/>
          <w:szCs w:val="22"/>
        </w:rPr>
      </w:pPr>
      <w:r w:rsidRPr="00BE05A8">
        <w:rPr>
          <w:sz w:val="22"/>
          <w:szCs w:val="22"/>
        </w:rPr>
        <w:t xml:space="preserve">The AN/PVS-26 and AN/PVS-30 Night Vision Clip-On Weapon Sights have been proven systems in the </w:t>
      </w:r>
      <w:r w:rsidR="00BA5776">
        <w:rPr>
          <w:sz w:val="22"/>
          <w:szCs w:val="22"/>
        </w:rPr>
        <w:t>Special Operations Forces (</w:t>
      </w:r>
      <w:r w:rsidRPr="00BE05A8">
        <w:rPr>
          <w:sz w:val="22"/>
          <w:szCs w:val="22"/>
        </w:rPr>
        <w:t>SOF</w:t>
      </w:r>
      <w:r w:rsidR="00BA5776">
        <w:rPr>
          <w:sz w:val="22"/>
          <w:szCs w:val="22"/>
        </w:rPr>
        <w:t>)</w:t>
      </w:r>
      <w:r w:rsidRPr="00BE05A8">
        <w:rPr>
          <w:sz w:val="22"/>
          <w:szCs w:val="22"/>
        </w:rPr>
        <w:t xml:space="preserve"> and ARMY forces for the past 15 years.  They were developed under the Improved Night/Day Fire Control/Observation Device INOD program which was an Evolutionary Acquisition (EA) of which these were Block II.  They provide a sniper with the capability to easily and quickly transition from day to night operations by mounting this clip-on directly in front of their existing direct view sniper dayscope.  The sniper can then use the same dayscope reticle and adjustments to accomplish his mission during night time operations.  Additionally, the transition to white phosphor image intensifier tubes over the past several years have provided better perceived </w:t>
      </w:r>
      <w:r w:rsidR="00BA5776">
        <w:rPr>
          <w:sz w:val="22"/>
          <w:szCs w:val="22"/>
        </w:rPr>
        <w:t xml:space="preserve">target </w:t>
      </w:r>
      <w:r w:rsidRPr="00BE05A8">
        <w:rPr>
          <w:sz w:val="22"/>
          <w:szCs w:val="22"/>
        </w:rPr>
        <w:t>contrast as well as the lower signal to noise ratio</w:t>
      </w:r>
      <w:r w:rsidR="00BA5776">
        <w:rPr>
          <w:sz w:val="22"/>
          <w:szCs w:val="22"/>
        </w:rPr>
        <w:t xml:space="preserve">, </w:t>
      </w:r>
      <w:r w:rsidRPr="00BE05A8">
        <w:rPr>
          <w:sz w:val="22"/>
          <w:szCs w:val="22"/>
        </w:rPr>
        <w:t>higher resolution</w:t>
      </w:r>
      <w:r w:rsidR="00BA5776">
        <w:rPr>
          <w:sz w:val="22"/>
          <w:szCs w:val="22"/>
        </w:rPr>
        <w:t>, and improved photo sensitivity</w:t>
      </w:r>
      <w:r w:rsidRPr="00BE05A8">
        <w:rPr>
          <w:sz w:val="22"/>
          <w:szCs w:val="22"/>
        </w:rPr>
        <w:t xml:space="preserve"> of these newer image intensifier tubes.  Lastly, a significant reduction in weight is desired to reduce the payload of the operator.</w:t>
      </w:r>
    </w:p>
    <w:p w14:paraId="2BC72019" w14:textId="77777777" w:rsidR="004B164E" w:rsidRDefault="004B164E" w:rsidP="00CE47F0">
      <w:pPr>
        <w:jc w:val="both"/>
      </w:pPr>
    </w:p>
    <w:p w14:paraId="11273601" w14:textId="77777777" w:rsidR="004B164E" w:rsidRDefault="004B164E" w:rsidP="00CE47F0">
      <w:pPr>
        <w:jc w:val="both"/>
        <w:rPr>
          <w:sz w:val="22"/>
          <w:szCs w:val="22"/>
        </w:rPr>
      </w:pPr>
      <w:r w:rsidRPr="004B164E">
        <w:rPr>
          <w:sz w:val="22"/>
          <w:szCs w:val="22"/>
        </w:rPr>
        <w:t xml:space="preserve">III.  </w:t>
      </w:r>
      <w:r w:rsidRPr="004B164E">
        <w:rPr>
          <w:b/>
          <w:sz w:val="22"/>
          <w:szCs w:val="22"/>
        </w:rPr>
        <w:t>OVERALL OBJECTIVE:</w:t>
      </w:r>
    </w:p>
    <w:p w14:paraId="284F6C74" w14:textId="77777777" w:rsidR="004B164E" w:rsidRDefault="004B164E" w:rsidP="00CE47F0">
      <w:pPr>
        <w:jc w:val="both"/>
        <w:rPr>
          <w:sz w:val="22"/>
          <w:szCs w:val="22"/>
        </w:rPr>
      </w:pPr>
    </w:p>
    <w:p w14:paraId="0A005870" w14:textId="3AC0D5AF" w:rsidR="004B164E" w:rsidRDefault="004B164E" w:rsidP="00CE47F0">
      <w:pPr>
        <w:jc w:val="both"/>
        <w:rPr>
          <w:sz w:val="22"/>
          <w:szCs w:val="22"/>
        </w:rPr>
      </w:pPr>
      <w:r>
        <w:rPr>
          <w:sz w:val="22"/>
          <w:szCs w:val="22"/>
        </w:rPr>
        <w:t>The objective of this Statement of Objectives</w:t>
      </w:r>
      <w:r w:rsidR="00110C13">
        <w:rPr>
          <w:sz w:val="22"/>
          <w:szCs w:val="22"/>
        </w:rPr>
        <w:t xml:space="preserve"> (SOO)</w:t>
      </w:r>
      <w:r>
        <w:rPr>
          <w:sz w:val="22"/>
          <w:szCs w:val="22"/>
        </w:rPr>
        <w:t xml:space="preserve"> is to develop </w:t>
      </w:r>
      <w:r w:rsidRPr="004B164E">
        <w:rPr>
          <w:sz w:val="22"/>
          <w:szCs w:val="22"/>
        </w:rPr>
        <w:t>applied research toward an innovative capability to allow operators to detect and engage targets for 0-</w:t>
      </w:r>
      <w:r w:rsidR="00BE05A8">
        <w:rPr>
          <w:sz w:val="22"/>
          <w:szCs w:val="22"/>
        </w:rPr>
        <w:t>15</w:t>
      </w:r>
      <w:r w:rsidRPr="004B164E">
        <w:rPr>
          <w:sz w:val="22"/>
          <w:szCs w:val="22"/>
        </w:rPr>
        <w:t xml:space="preserve">00 meters and beyond in night mounted engagements.  </w:t>
      </w:r>
      <w:r w:rsidR="00BA5776">
        <w:rPr>
          <w:sz w:val="22"/>
          <w:szCs w:val="22"/>
        </w:rPr>
        <w:t xml:space="preserve">This will be achieved through a </w:t>
      </w:r>
      <w:r w:rsidR="00BE05A8" w:rsidRPr="00CE47F0">
        <w:rPr>
          <w:sz w:val="22"/>
          <w:szCs w:val="22"/>
        </w:rPr>
        <w:t>High Performance Lightweight White Phosphor Image Intensification Clip-On (LWPI2C)</w:t>
      </w:r>
      <w:r w:rsidR="00BA5776">
        <w:rPr>
          <w:sz w:val="22"/>
          <w:szCs w:val="22"/>
        </w:rPr>
        <w:t>.</w:t>
      </w:r>
    </w:p>
    <w:p w14:paraId="4A4D804D" w14:textId="77777777" w:rsidR="004B164E" w:rsidRDefault="004B164E" w:rsidP="00CE47F0">
      <w:pPr>
        <w:jc w:val="both"/>
        <w:rPr>
          <w:sz w:val="22"/>
          <w:szCs w:val="22"/>
        </w:rPr>
      </w:pPr>
    </w:p>
    <w:p w14:paraId="1A3FEBFB" w14:textId="77777777" w:rsidR="004B164E" w:rsidRDefault="004B164E" w:rsidP="00CE47F0">
      <w:pPr>
        <w:jc w:val="both"/>
        <w:rPr>
          <w:sz w:val="22"/>
          <w:szCs w:val="22"/>
        </w:rPr>
      </w:pPr>
      <w:r>
        <w:rPr>
          <w:sz w:val="22"/>
          <w:szCs w:val="22"/>
        </w:rPr>
        <w:t xml:space="preserve">IV.  </w:t>
      </w:r>
      <w:r w:rsidRPr="004B164E">
        <w:rPr>
          <w:b/>
          <w:sz w:val="22"/>
          <w:szCs w:val="22"/>
        </w:rPr>
        <w:t>REQUIREMENTS</w:t>
      </w:r>
      <w:r>
        <w:rPr>
          <w:b/>
          <w:sz w:val="22"/>
          <w:szCs w:val="22"/>
        </w:rPr>
        <w:t>:</w:t>
      </w:r>
    </w:p>
    <w:p w14:paraId="214CC624" w14:textId="77777777" w:rsidR="004B164E" w:rsidRDefault="004B164E" w:rsidP="00CE47F0">
      <w:pPr>
        <w:jc w:val="both"/>
        <w:rPr>
          <w:sz w:val="22"/>
          <w:szCs w:val="22"/>
        </w:rPr>
      </w:pPr>
    </w:p>
    <w:p w14:paraId="195A1145" w14:textId="77777777" w:rsidR="006545B7" w:rsidRDefault="004B164E" w:rsidP="00CE47F0">
      <w:pPr>
        <w:pStyle w:val="ListParagraph"/>
        <w:numPr>
          <w:ilvl w:val="0"/>
          <w:numId w:val="1"/>
        </w:numPr>
        <w:ind w:left="720"/>
        <w:jc w:val="both"/>
        <w:rPr>
          <w:sz w:val="22"/>
          <w:szCs w:val="22"/>
        </w:rPr>
      </w:pPr>
      <w:r w:rsidRPr="004B164E">
        <w:rPr>
          <w:b/>
          <w:sz w:val="22"/>
          <w:szCs w:val="22"/>
        </w:rPr>
        <w:t xml:space="preserve">General:  </w:t>
      </w:r>
      <w:r>
        <w:rPr>
          <w:sz w:val="22"/>
          <w:szCs w:val="22"/>
        </w:rPr>
        <w:t>The contractor shall d</w:t>
      </w:r>
      <w:r w:rsidRPr="004B164E">
        <w:rPr>
          <w:sz w:val="22"/>
          <w:szCs w:val="22"/>
        </w:rPr>
        <w:t>emonstrate and deliver</w:t>
      </w:r>
      <w:r w:rsidR="00015CF9">
        <w:rPr>
          <w:sz w:val="22"/>
          <w:szCs w:val="22"/>
        </w:rPr>
        <w:t xml:space="preserve"> six</w:t>
      </w:r>
      <w:r w:rsidRPr="004B164E">
        <w:rPr>
          <w:sz w:val="22"/>
          <w:szCs w:val="22"/>
        </w:rPr>
        <w:t xml:space="preserve"> </w:t>
      </w:r>
      <w:r w:rsidR="00015CF9">
        <w:rPr>
          <w:sz w:val="22"/>
          <w:szCs w:val="22"/>
        </w:rPr>
        <w:t>(</w:t>
      </w:r>
      <w:r w:rsidR="00BE05A8">
        <w:rPr>
          <w:sz w:val="22"/>
          <w:szCs w:val="22"/>
        </w:rPr>
        <w:t>6</w:t>
      </w:r>
      <w:r w:rsidR="00015CF9">
        <w:rPr>
          <w:sz w:val="22"/>
          <w:szCs w:val="22"/>
        </w:rPr>
        <w:t>)</w:t>
      </w:r>
      <w:r w:rsidRPr="004B164E">
        <w:rPr>
          <w:sz w:val="22"/>
          <w:szCs w:val="22"/>
        </w:rPr>
        <w:t xml:space="preserve"> prototype </w:t>
      </w:r>
      <w:r w:rsidR="00BE05A8">
        <w:rPr>
          <w:sz w:val="22"/>
          <w:szCs w:val="22"/>
        </w:rPr>
        <w:t>LWPI2C</w:t>
      </w:r>
      <w:r w:rsidRPr="004B164E">
        <w:rPr>
          <w:sz w:val="22"/>
          <w:szCs w:val="22"/>
        </w:rPr>
        <w:t xml:space="preserve"> units that will allow operators to detect and engage targets for 0-</w:t>
      </w:r>
      <w:r w:rsidR="00BE05A8">
        <w:rPr>
          <w:sz w:val="22"/>
          <w:szCs w:val="22"/>
        </w:rPr>
        <w:t>15</w:t>
      </w:r>
      <w:r w:rsidRPr="004B164E">
        <w:rPr>
          <w:sz w:val="22"/>
          <w:szCs w:val="22"/>
        </w:rPr>
        <w:t>00 meters and beyond in night mounted engagements.  This capability shall meet the requirements in the description below.</w:t>
      </w:r>
    </w:p>
    <w:p w14:paraId="2F5554C4" w14:textId="77777777" w:rsidR="006545B7" w:rsidRPr="006545B7" w:rsidRDefault="006545B7" w:rsidP="00CE47F0">
      <w:pPr>
        <w:pStyle w:val="ListParagraph"/>
        <w:ind w:left="1080"/>
        <w:jc w:val="both"/>
        <w:rPr>
          <w:sz w:val="22"/>
          <w:szCs w:val="22"/>
        </w:rPr>
      </w:pPr>
    </w:p>
    <w:p w14:paraId="77A1AEBA" w14:textId="77777777" w:rsidR="004B164E" w:rsidRDefault="006545B7" w:rsidP="00CE47F0">
      <w:pPr>
        <w:pStyle w:val="ListParagraph"/>
        <w:numPr>
          <w:ilvl w:val="1"/>
          <w:numId w:val="1"/>
        </w:numPr>
        <w:jc w:val="both"/>
        <w:rPr>
          <w:sz w:val="22"/>
          <w:szCs w:val="22"/>
        </w:rPr>
      </w:pPr>
      <w:r>
        <w:rPr>
          <w:b/>
          <w:sz w:val="22"/>
          <w:szCs w:val="22"/>
        </w:rPr>
        <w:t>Detailed Requirements:</w:t>
      </w:r>
      <w:r>
        <w:rPr>
          <w:sz w:val="22"/>
          <w:szCs w:val="22"/>
        </w:rPr>
        <w:t xml:space="preserve">  The Contractor shall design, develop, fabricate, test, demonstrate, and deliver the </w:t>
      </w:r>
      <w:r w:rsidR="00015CF9">
        <w:rPr>
          <w:sz w:val="22"/>
          <w:szCs w:val="22"/>
        </w:rPr>
        <w:t>six (</w:t>
      </w:r>
      <w:r w:rsidR="00BE05A8">
        <w:rPr>
          <w:sz w:val="22"/>
          <w:szCs w:val="22"/>
        </w:rPr>
        <w:t>6</w:t>
      </w:r>
      <w:r w:rsidR="00015CF9">
        <w:rPr>
          <w:sz w:val="22"/>
          <w:szCs w:val="22"/>
        </w:rPr>
        <w:t>)</w:t>
      </w:r>
      <w:r>
        <w:rPr>
          <w:sz w:val="22"/>
          <w:szCs w:val="22"/>
        </w:rPr>
        <w:t xml:space="preserve"> prototype</w:t>
      </w:r>
      <w:r w:rsidR="00BE05A8">
        <w:rPr>
          <w:sz w:val="22"/>
          <w:szCs w:val="22"/>
        </w:rPr>
        <w:t xml:space="preserve"> LWPI2C</w:t>
      </w:r>
      <w:r>
        <w:rPr>
          <w:sz w:val="22"/>
          <w:szCs w:val="22"/>
        </w:rPr>
        <w:t xml:space="preserve"> units the mee</w:t>
      </w:r>
      <w:r w:rsidR="00110C13">
        <w:rPr>
          <w:sz w:val="22"/>
          <w:szCs w:val="22"/>
        </w:rPr>
        <w:t>t</w:t>
      </w:r>
      <w:r>
        <w:rPr>
          <w:sz w:val="22"/>
          <w:szCs w:val="22"/>
        </w:rPr>
        <w:t xml:space="preserve"> the following performance requirements.</w:t>
      </w:r>
    </w:p>
    <w:p w14:paraId="10B9195F" w14:textId="77777777" w:rsidR="006545B7" w:rsidRDefault="006545B7" w:rsidP="00CE47F0">
      <w:pPr>
        <w:pStyle w:val="ListParagraph"/>
        <w:ind w:left="1800"/>
        <w:jc w:val="both"/>
        <w:rPr>
          <w:sz w:val="22"/>
          <w:szCs w:val="22"/>
        </w:rPr>
      </w:pPr>
    </w:p>
    <w:p w14:paraId="280F1878"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be less than 10 inches in length</w:t>
      </w:r>
      <w:r w:rsidR="00015CF9">
        <w:rPr>
          <w:sz w:val="22"/>
          <w:szCs w:val="22"/>
        </w:rPr>
        <w:t>.</w:t>
      </w:r>
    </w:p>
    <w:p w14:paraId="662A8DF5"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 xml:space="preserve">Shall weigh no more than 2.25 pounds.  </w:t>
      </w:r>
    </w:p>
    <w:p w14:paraId="0994CC18" w14:textId="684118E6"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be a High Performance White Phosphorus Image Intensification (I</w:t>
      </w:r>
      <w:r w:rsidRPr="00BE05A8">
        <w:rPr>
          <w:sz w:val="22"/>
          <w:szCs w:val="22"/>
          <w:vertAlign w:val="superscript"/>
        </w:rPr>
        <w:t>2</w:t>
      </w:r>
      <w:r w:rsidRPr="00BE05A8">
        <w:rPr>
          <w:sz w:val="22"/>
          <w:szCs w:val="22"/>
        </w:rPr>
        <w:t>) Tube with a minimum of 72</w:t>
      </w:r>
      <w:r>
        <w:rPr>
          <w:sz w:val="22"/>
          <w:szCs w:val="22"/>
        </w:rPr>
        <w:t xml:space="preserve"> line pairs/millimeter</w:t>
      </w:r>
      <w:r w:rsidRPr="00BE05A8">
        <w:rPr>
          <w:sz w:val="22"/>
          <w:szCs w:val="22"/>
        </w:rPr>
        <w:t xml:space="preserve"> </w:t>
      </w:r>
      <w:r>
        <w:rPr>
          <w:sz w:val="22"/>
          <w:szCs w:val="22"/>
        </w:rPr>
        <w:t>(</w:t>
      </w:r>
      <w:r w:rsidRPr="00BE05A8">
        <w:rPr>
          <w:sz w:val="22"/>
          <w:szCs w:val="22"/>
        </w:rPr>
        <w:t>lp/mm</w:t>
      </w:r>
      <w:r>
        <w:rPr>
          <w:sz w:val="22"/>
          <w:szCs w:val="22"/>
        </w:rPr>
        <w:t>)</w:t>
      </w:r>
      <w:r w:rsidRPr="00BE05A8">
        <w:rPr>
          <w:sz w:val="22"/>
          <w:szCs w:val="22"/>
        </w:rPr>
        <w:t xml:space="preserve"> and a Signal to Noise Ratio (SNR) of </w:t>
      </w:r>
      <w:r w:rsidR="00BA5776">
        <w:rPr>
          <w:sz w:val="22"/>
          <w:szCs w:val="22"/>
        </w:rPr>
        <w:t xml:space="preserve">at least </w:t>
      </w:r>
      <w:r w:rsidRPr="00BE05A8">
        <w:rPr>
          <w:sz w:val="22"/>
          <w:szCs w:val="22"/>
        </w:rPr>
        <w:t xml:space="preserve">32.  There is </w:t>
      </w:r>
      <w:r w:rsidR="00CE47F0">
        <w:rPr>
          <w:sz w:val="22"/>
          <w:szCs w:val="22"/>
        </w:rPr>
        <w:t>a desire</w:t>
      </w:r>
      <w:r w:rsidRPr="00BE05A8">
        <w:rPr>
          <w:sz w:val="22"/>
          <w:szCs w:val="22"/>
        </w:rPr>
        <w:t xml:space="preserve"> </w:t>
      </w:r>
      <w:r w:rsidR="00CE47F0">
        <w:rPr>
          <w:sz w:val="22"/>
          <w:szCs w:val="22"/>
        </w:rPr>
        <w:t>for</w:t>
      </w:r>
      <w:r w:rsidRPr="00BE05A8">
        <w:rPr>
          <w:sz w:val="22"/>
          <w:szCs w:val="22"/>
        </w:rPr>
        <w:t xml:space="preserve"> higher performing tubes, i.e. 72 lp/mm and 36 SNR, and 81 lp/mm and 38 SNR.  A </w:t>
      </w:r>
      <w:r w:rsidR="00CE47F0">
        <w:rPr>
          <w:sz w:val="22"/>
          <w:szCs w:val="22"/>
        </w:rPr>
        <w:t>Cost/Benefit</w:t>
      </w:r>
      <w:r>
        <w:rPr>
          <w:sz w:val="22"/>
          <w:szCs w:val="22"/>
        </w:rPr>
        <w:t xml:space="preserve"> </w:t>
      </w:r>
      <w:r w:rsidRPr="00BE05A8">
        <w:rPr>
          <w:sz w:val="22"/>
          <w:szCs w:val="22"/>
        </w:rPr>
        <w:t>study would be</w:t>
      </w:r>
      <w:r w:rsidR="00BA5776">
        <w:rPr>
          <w:sz w:val="22"/>
          <w:szCs w:val="22"/>
        </w:rPr>
        <w:t xml:space="preserve"> appreciated</w:t>
      </w:r>
      <w:r w:rsidRPr="00BE05A8">
        <w:rPr>
          <w:sz w:val="22"/>
          <w:szCs w:val="22"/>
        </w:rPr>
        <w:t xml:space="preserve"> </w:t>
      </w:r>
      <w:r w:rsidR="00BA5776">
        <w:rPr>
          <w:sz w:val="22"/>
          <w:szCs w:val="22"/>
        </w:rPr>
        <w:t>for this</w:t>
      </w:r>
      <w:r w:rsidRPr="00BE05A8">
        <w:rPr>
          <w:sz w:val="22"/>
          <w:szCs w:val="22"/>
        </w:rPr>
        <w:t>.</w:t>
      </w:r>
    </w:p>
    <w:p w14:paraId="2C667143"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The design of the LWPI2C shall allow for depot level replacement of the I</w:t>
      </w:r>
      <w:r w:rsidRPr="00BE05A8">
        <w:rPr>
          <w:sz w:val="22"/>
          <w:szCs w:val="22"/>
          <w:vertAlign w:val="superscript"/>
        </w:rPr>
        <w:t>2</w:t>
      </w:r>
      <w:r w:rsidRPr="00BE05A8">
        <w:rPr>
          <w:sz w:val="22"/>
          <w:szCs w:val="22"/>
        </w:rPr>
        <w:t xml:space="preserve"> tube.</w:t>
      </w:r>
    </w:p>
    <w:p w14:paraId="7113E82F" w14:textId="320BA4B2" w:rsidR="00BE05A8" w:rsidRPr="00BE05A8" w:rsidRDefault="00BE05A8" w:rsidP="00CE47F0">
      <w:pPr>
        <w:pStyle w:val="ListParagraph"/>
        <w:numPr>
          <w:ilvl w:val="2"/>
          <w:numId w:val="1"/>
        </w:numPr>
        <w:ind w:left="1440" w:hanging="360"/>
        <w:jc w:val="both"/>
        <w:rPr>
          <w:sz w:val="22"/>
          <w:szCs w:val="22"/>
        </w:rPr>
      </w:pPr>
      <w:r w:rsidRPr="00BE05A8">
        <w:rPr>
          <w:sz w:val="22"/>
          <w:szCs w:val="22"/>
        </w:rPr>
        <w:t xml:space="preserve">Shall interoperate with SOCOM SOF sniper rifles (Mk13, Mk15, and Mk22 Advanced Sniper Rifle (ASR), M107, M2010) and designated marksmen rifles (Mk11, Mk20, and M110) and should interoperate with current SOCOM laser range finders </w:t>
      </w:r>
      <w:r w:rsidR="00027DC6">
        <w:rPr>
          <w:sz w:val="22"/>
          <w:szCs w:val="22"/>
        </w:rPr>
        <w:t xml:space="preserve">(LRF) </w:t>
      </w:r>
      <w:r w:rsidRPr="00BE05A8">
        <w:rPr>
          <w:sz w:val="22"/>
          <w:szCs w:val="22"/>
        </w:rPr>
        <w:t>and SOCOM day optics (SU-284/PVS, SU-296/PVS).</w:t>
      </w:r>
    </w:p>
    <w:p w14:paraId="23BF52E7"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have 1X magnification</w:t>
      </w:r>
      <w:r w:rsidR="00CE47F0">
        <w:rPr>
          <w:sz w:val="22"/>
          <w:szCs w:val="22"/>
        </w:rPr>
        <w:t xml:space="preserve"> and be collimated</w:t>
      </w:r>
      <w:r w:rsidRPr="00BE05A8">
        <w:rPr>
          <w:sz w:val="22"/>
          <w:szCs w:val="22"/>
        </w:rPr>
        <w:t>.</w:t>
      </w:r>
    </w:p>
    <w:p w14:paraId="7DDC3D42"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mount to the weapon’s MIL-STD-1913 rail and provide a full field of view to the operator without interfering with the operation of the weapon system and accessories.</w:t>
      </w:r>
    </w:p>
    <w:p w14:paraId="052708E9"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be powered with a single CR123 Lithium and/or a single AA battery for at least 24 hours continuous operation.</w:t>
      </w:r>
    </w:p>
    <w:p w14:paraId="458D96E7"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 xml:space="preserve">Shall have a rotary focus knob to control system focus.  Sufficient tension shall exist to prevent accidental movement of the focus knob.  The focus shall adjust from near focus to past infinity by at least 1/8 turn. </w:t>
      </w:r>
    </w:p>
    <w:p w14:paraId="63E307F6"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have an optical centerline of 1.53 +/- 0.1 inches or that allows interoperability with existing first focal plane (FFP) sniper dayscopes (e.g. SU-284/PVS, SU-295/PVS, and SU-296/PVS).</w:t>
      </w:r>
    </w:p>
    <w:p w14:paraId="17B565BA"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not lose more than 0.5 minute of angle (MOA) of accuracy when repeatedly removed from the weapon and reattached.</w:t>
      </w:r>
    </w:p>
    <w:p w14:paraId="250C3FA1"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not have a laser and shall not present a safety risk to the operator.</w:t>
      </w:r>
    </w:p>
    <w:p w14:paraId="61F1B9A9"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have an adjustable locking throw lever mount to securely mount to the MIL-STD-1913 weapon rail.</w:t>
      </w:r>
    </w:p>
    <w:p w14:paraId="116C6EC0"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Shall have the following accessories:  day lens cover with lanyard, detachable coupler, batteries, lens cleaning kit, and soft carrying case.</w:t>
      </w:r>
    </w:p>
    <w:p w14:paraId="07E173E0"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The materiel developer shall provide system training products to conduct new equipment training during operational and developmental testing.  These training products will be used as the basis for institutional training development, unit sustainment training, and rapid training in support of contingency operations. The training package will consider applicable embedded training features, computer and video based training techniques, and support capabilities.</w:t>
      </w:r>
    </w:p>
    <w:p w14:paraId="6F270DB9" w14:textId="77777777" w:rsidR="00BE05A8" w:rsidRPr="00BE05A8" w:rsidRDefault="00BE05A8" w:rsidP="00CE47F0">
      <w:pPr>
        <w:pStyle w:val="ListParagraph"/>
        <w:numPr>
          <w:ilvl w:val="2"/>
          <w:numId w:val="1"/>
        </w:numPr>
        <w:ind w:left="1440" w:hanging="360"/>
        <w:jc w:val="both"/>
        <w:rPr>
          <w:sz w:val="22"/>
          <w:szCs w:val="22"/>
        </w:rPr>
      </w:pPr>
      <w:r w:rsidRPr="00BE05A8">
        <w:rPr>
          <w:sz w:val="22"/>
          <w:szCs w:val="22"/>
        </w:rPr>
        <w:t>Detection and Recognition Ranges.</w:t>
      </w:r>
    </w:p>
    <w:p w14:paraId="484658A2" w14:textId="77777777" w:rsidR="00964101" w:rsidRDefault="00964101" w:rsidP="00CE47F0">
      <w:pPr>
        <w:pStyle w:val="ListParagraph"/>
        <w:ind w:left="1440"/>
        <w:jc w:val="both"/>
        <w:rPr>
          <w:sz w:val="22"/>
          <w:szCs w:val="22"/>
        </w:rPr>
      </w:pPr>
    </w:p>
    <w:p w14:paraId="4DC32461" w14:textId="15CDDDC7" w:rsidR="00BE05A8" w:rsidRPr="00BE05A8" w:rsidRDefault="00BE05A8" w:rsidP="00CE47F0">
      <w:pPr>
        <w:pStyle w:val="ListParagraph"/>
        <w:ind w:left="1440"/>
        <w:jc w:val="both"/>
        <w:rPr>
          <w:sz w:val="22"/>
          <w:szCs w:val="22"/>
        </w:rPr>
      </w:pPr>
      <w:r w:rsidRPr="00BE05A8">
        <w:rPr>
          <w:sz w:val="22"/>
          <w:szCs w:val="22"/>
        </w:rPr>
        <w:t xml:space="preserve">a) Starlight conditions:  Recognize a standing man at ranges of 400 meters (threshold), 700m (objective).  Recognition, according to Joint Pub. 1-02, </w:t>
      </w:r>
      <w:r w:rsidR="00027DC6">
        <w:rPr>
          <w:sz w:val="22"/>
          <w:szCs w:val="22"/>
        </w:rPr>
        <w:t>Department of Defense (</w:t>
      </w:r>
      <w:r w:rsidRPr="00BE05A8">
        <w:rPr>
          <w:sz w:val="22"/>
          <w:szCs w:val="22"/>
        </w:rPr>
        <w:t>DOD</w:t>
      </w:r>
      <w:r w:rsidR="00027DC6">
        <w:rPr>
          <w:sz w:val="22"/>
          <w:szCs w:val="22"/>
        </w:rPr>
        <w:t>)</w:t>
      </w:r>
      <w:r w:rsidRPr="00BE05A8">
        <w:rPr>
          <w:sz w:val="22"/>
          <w:szCs w:val="22"/>
        </w:rPr>
        <w:t xml:space="preserve"> Dictionary of Military and Associated Terms, is defined as “the determination that an object is similar within a category of something already known: e.g., tank, truck, man”.</w:t>
      </w:r>
    </w:p>
    <w:p w14:paraId="52577BCC" w14:textId="77777777" w:rsidR="00BE05A8" w:rsidRPr="00BE05A8" w:rsidRDefault="00BE05A8" w:rsidP="00CE47F0">
      <w:pPr>
        <w:pStyle w:val="ListParagraph"/>
        <w:ind w:left="1440"/>
        <w:jc w:val="both"/>
        <w:rPr>
          <w:sz w:val="22"/>
          <w:szCs w:val="22"/>
        </w:rPr>
      </w:pPr>
    </w:p>
    <w:p w14:paraId="013523CB" w14:textId="77777777" w:rsidR="00BE05A8" w:rsidRPr="00BE05A8" w:rsidRDefault="00BE05A8" w:rsidP="00CE47F0">
      <w:pPr>
        <w:pStyle w:val="ListParagraph"/>
        <w:ind w:left="1440"/>
        <w:jc w:val="both"/>
        <w:rPr>
          <w:sz w:val="22"/>
          <w:szCs w:val="22"/>
        </w:rPr>
      </w:pPr>
      <w:r w:rsidRPr="00BE05A8">
        <w:rPr>
          <w:sz w:val="22"/>
          <w:szCs w:val="22"/>
        </w:rPr>
        <w:t>b) Starlight conditions:  Detect a vehicle at ranges of 850m (threshold), 1000m (objective).  Detection, according to Joint Pub. 1-02, DOD Dictionary of Military and Associated Terms is defined as “in tactical operations, the perception of an object of possible military interest but unconfirmed by recognition”.</w:t>
      </w:r>
    </w:p>
    <w:p w14:paraId="6EAADEB0" w14:textId="77777777" w:rsidR="00BE05A8" w:rsidRPr="00BE05A8" w:rsidRDefault="00BE05A8" w:rsidP="00CE47F0">
      <w:pPr>
        <w:pStyle w:val="ListParagraph"/>
        <w:ind w:left="1440"/>
        <w:jc w:val="both"/>
        <w:rPr>
          <w:sz w:val="22"/>
          <w:szCs w:val="22"/>
        </w:rPr>
      </w:pPr>
    </w:p>
    <w:p w14:paraId="2C2DEBC5" w14:textId="77777777" w:rsidR="00BE05A8" w:rsidRPr="00BE05A8" w:rsidRDefault="00BE05A8" w:rsidP="00CE47F0">
      <w:pPr>
        <w:pStyle w:val="ListParagraph"/>
        <w:ind w:left="1440"/>
        <w:jc w:val="both"/>
        <w:rPr>
          <w:sz w:val="22"/>
          <w:szCs w:val="22"/>
        </w:rPr>
      </w:pPr>
      <w:r w:rsidRPr="00BE05A8">
        <w:rPr>
          <w:sz w:val="22"/>
          <w:szCs w:val="22"/>
        </w:rPr>
        <w:lastRenderedPageBreak/>
        <w:t>c) In ¼ moonlight conditions:  Recognize a standing man at ranges of 700m (threshold), 1000m (objective).</w:t>
      </w:r>
    </w:p>
    <w:p w14:paraId="78BA9DE2" w14:textId="77777777" w:rsidR="00BE05A8" w:rsidRPr="00BE05A8" w:rsidRDefault="00BE05A8" w:rsidP="00CE47F0">
      <w:pPr>
        <w:pStyle w:val="ListParagraph"/>
        <w:ind w:left="1440"/>
        <w:jc w:val="both"/>
        <w:rPr>
          <w:sz w:val="22"/>
          <w:szCs w:val="22"/>
        </w:rPr>
      </w:pPr>
    </w:p>
    <w:p w14:paraId="2A47E595" w14:textId="77777777" w:rsidR="00BE05A8" w:rsidRPr="00027DC6" w:rsidRDefault="00BE05A8" w:rsidP="00CE47F0">
      <w:pPr>
        <w:pStyle w:val="ListParagraph"/>
        <w:ind w:left="1440"/>
        <w:jc w:val="both"/>
        <w:rPr>
          <w:sz w:val="22"/>
          <w:szCs w:val="22"/>
        </w:rPr>
      </w:pPr>
      <w:r w:rsidRPr="00027DC6">
        <w:rPr>
          <w:sz w:val="22"/>
          <w:szCs w:val="22"/>
        </w:rPr>
        <w:t>d) In ¼ moonlight conditions:  Detect a vehicle at ranges of 1200m (threshold), 1500m (objective).</w:t>
      </w:r>
    </w:p>
    <w:p w14:paraId="233F4FFC" w14:textId="77777777" w:rsidR="00140FE5" w:rsidRPr="00027DC6" w:rsidRDefault="00140FE5" w:rsidP="00CE47F0">
      <w:pPr>
        <w:pStyle w:val="ListParagraph"/>
        <w:ind w:left="1440"/>
        <w:jc w:val="both"/>
        <w:rPr>
          <w:sz w:val="22"/>
          <w:szCs w:val="22"/>
        </w:rPr>
      </w:pPr>
    </w:p>
    <w:p w14:paraId="4EEC3BA1" w14:textId="27377185" w:rsidR="006545B7" w:rsidRPr="00027DC6" w:rsidRDefault="00110C13" w:rsidP="00CE47F0">
      <w:pPr>
        <w:pStyle w:val="ListParagraph"/>
        <w:numPr>
          <w:ilvl w:val="2"/>
          <w:numId w:val="1"/>
        </w:numPr>
        <w:ind w:left="1440" w:hanging="360"/>
        <w:jc w:val="both"/>
        <w:rPr>
          <w:sz w:val="22"/>
          <w:szCs w:val="22"/>
        </w:rPr>
      </w:pPr>
      <w:r w:rsidRPr="00027DC6">
        <w:rPr>
          <w:sz w:val="22"/>
          <w:szCs w:val="22"/>
        </w:rPr>
        <w:t xml:space="preserve">Shall be </w:t>
      </w:r>
      <w:r w:rsidR="00BA2570" w:rsidRPr="00027DC6">
        <w:rPr>
          <w:sz w:val="22"/>
          <w:szCs w:val="22"/>
        </w:rPr>
        <w:t>waterproof</w:t>
      </w:r>
      <w:r w:rsidR="006545B7" w:rsidRPr="00027DC6">
        <w:rPr>
          <w:sz w:val="22"/>
          <w:szCs w:val="22"/>
        </w:rPr>
        <w:t xml:space="preserve"> to at least 1m depth for 2 hours.</w:t>
      </w:r>
    </w:p>
    <w:p w14:paraId="57B87B75" w14:textId="77777777" w:rsidR="006545B7" w:rsidRPr="00027DC6" w:rsidRDefault="00110C13" w:rsidP="00CE47F0">
      <w:pPr>
        <w:pStyle w:val="ListParagraph"/>
        <w:numPr>
          <w:ilvl w:val="2"/>
          <w:numId w:val="1"/>
        </w:numPr>
        <w:ind w:left="1440" w:hanging="360"/>
        <w:jc w:val="both"/>
        <w:rPr>
          <w:sz w:val="22"/>
          <w:szCs w:val="22"/>
        </w:rPr>
      </w:pPr>
      <w:r w:rsidRPr="00027DC6">
        <w:rPr>
          <w:sz w:val="22"/>
          <w:szCs w:val="22"/>
        </w:rPr>
        <w:t>Shall s</w:t>
      </w:r>
      <w:r w:rsidR="006545B7" w:rsidRPr="00027DC6">
        <w:rPr>
          <w:sz w:val="22"/>
          <w:szCs w:val="22"/>
        </w:rPr>
        <w:t>urvive all SOCOM SOF environments and be tested per MIL-STD-810H</w:t>
      </w:r>
      <w:r w:rsidRPr="00027DC6">
        <w:rPr>
          <w:sz w:val="22"/>
          <w:szCs w:val="22"/>
        </w:rPr>
        <w:t>.</w:t>
      </w:r>
    </w:p>
    <w:p w14:paraId="5B652DE4" w14:textId="1D1994F8" w:rsidR="00E9751E" w:rsidRPr="00027DC6" w:rsidRDefault="00E9751E" w:rsidP="00027DC6">
      <w:pPr>
        <w:pStyle w:val="ListParagraph"/>
        <w:numPr>
          <w:ilvl w:val="2"/>
          <w:numId w:val="1"/>
        </w:numPr>
        <w:ind w:left="1440" w:hanging="360"/>
        <w:jc w:val="both"/>
        <w:rPr>
          <w:sz w:val="22"/>
          <w:szCs w:val="22"/>
        </w:rPr>
      </w:pPr>
      <w:r w:rsidRPr="00027DC6">
        <w:rPr>
          <w:sz w:val="22"/>
          <w:szCs w:val="22"/>
        </w:rPr>
        <w:t>Maximum TR</w:t>
      </w:r>
      <w:r w:rsidR="00027DC6" w:rsidRPr="00027DC6">
        <w:rPr>
          <w:sz w:val="22"/>
          <w:szCs w:val="22"/>
        </w:rPr>
        <w:t>L 7.  Maximum Technical Readiness Level (TRL) of TRL 7. (System prototype demonstration in an operational environment:  Prototype near, or at, planned operational system.  Represents a major step up from TRL 6, requiring the demonstration of an actual system prototype in an operational environment such as an aircraft, vehicle, or space.)</w:t>
      </w:r>
    </w:p>
    <w:p w14:paraId="539E5D5E" w14:textId="77777777" w:rsidR="006545B7" w:rsidRPr="006545B7" w:rsidRDefault="006545B7" w:rsidP="00CE47F0">
      <w:pPr>
        <w:pStyle w:val="ListParagraph"/>
        <w:ind w:left="2520"/>
        <w:jc w:val="both"/>
        <w:rPr>
          <w:sz w:val="22"/>
          <w:szCs w:val="22"/>
        </w:rPr>
      </w:pPr>
    </w:p>
    <w:p w14:paraId="7D70BB4F" w14:textId="77777777" w:rsidR="006545B7" w:rsidRDefault="006545B7" w:rsidP="00CE47F0">
      <w:pPr>
        <w:pStyle w:val="ListParagraph"/>
        <w:numPr>
          <w:ilvl w:val="1"/>
          <w:numId w:val="1"/>
        </w:numPr>
        <w:jc w:val="both"/>
        <w:rPr>
          <w:sz w:val="22"/>
          <w:szCs w:val="22"/>
        </w:rPr>
      </w:pPr>
      <w:r>
        <w:rPr>
          <w:b/>
          <w:sz w:val="22"/>
          <w:szCs w:val="22"/>
        </w:rPr>
        <w:t>Component Requirements:</w:t>
      </w:r>
      <w:r>
        <w:rPr>
          <w:sz w:val="22"/>
          <w:szCs w:val="22"/>
        </w:rPr>
        <w:t xml:space="preserve">  N/A</w:t>
      </w:r>
    </w:p>
    <w:p w14:paraId="68CEAF92" w14:textId="77777777" w:rsidR="006545B7" w:rsidRDefault="006545B7" w:rsidP="00CE47F0">
      <w:pPr>
        <w:pStyle w:val="ListParagraph"/>
        <w:ind w:left="1080"/>
        <w:jc w:val="both"/>
        <w:rPr>
          <w:sz w:val="22"/>
          <w:szCs w:val="22"/>
        </w:rPr>
      </w:pPr>
    </w:p>
    <w:p w14:paraId="5C326734" w14:textId="77777777" w:rsidR="006545B7" w:rsidRDefault="006545B7" w:rsidP="00CE47F0">
      <w:pPr>
        <w:pStyle w:val="ListParagraph"/>
        <w:numPr>
          <w:ilvl w:val="1"/>
          <w:numId w:val="1"/>
        </w:numPr>
        <w:jc w:val="both"/>
        <w:rPr>
          <w:sz w:val="22"/>
          <w:szCs w:val="22"/>
        </w:rPr>
      </w:pPr>
      <w:r>
        <w:rPr>
          <w:b/>
          <w:sz w:val="22"/>
          <w:szCs w:val="22"/>
        </w:rPr>
        <w:t>Unique Item Identification:</w:t>
      </w:r>
      <w:r>
        <w:rPr>
          <w:sz w:val="22"/>
          <w:szCs w:val="22"/>
        </w:rPr>
        <w:t xml:space="preserve">  The contractor shall include the DoD unique item identifications or a DoD recognized unique identification equivalent for the prototypes delivered.  This </w:t>
      </w:r>
      <w:r w:rsidRPr="00B24A63">
        <w:rPr>
          <w:sz w:val="22"/>
          <w:szCs w:val="22"/>
        </w:rPr>
        <w:t xml:space="preserve">includes a description and cost breakout as applicable. Information on unique item identifier types is at </w:t>
      </w:r>
      <w:hyperlink r:id="rId8" w:history="1">
        <w:r w:rsidRPr="00B24A63">
          <w:rPr>
            <w:rStyle w:val="Hyperlink"/>
            <w:sz w:val="22"/>
            <w:szCs w:val="22"/>
          </w:rPr>
          <w:t>http://www.acq.osd.mil/dpap/UID/uid_types.html</w:t>
        </w:r>
      </w:hyperlink>
      <w:r w:rsidRPr="00B24A63">
        <w:rPr>
          <w:sz w:val="22"/>
          <w:szCs w:val="22"/>
        </w:rPr>
        <w:t xml:space="preserve">. The guide is at </w:t>
      </w:r>
      <w:hyperlink r:id="rId9" w:history="1">
        <w:r w:rsidRPr="00B24A63">
          <w:rPr>
            <w:rStyle w:val="Hyperlink"/>
            <w:sz w:val="22"/>
            <w:szCs w:val="22"/>
          </w:rPr>
          <w:t>http://www.acq.osd.mil/dpap/UID/guides.htm</w:t>
        </w:r>
      </w:hyperlink>
      <w:r w:rsidRPr="00B24A63">
        <w:rPr>
          <w:sz w:val="22"/>
          <w:szCs w:val="22"/>
        </w:rPr>
        <w:t>. This is in accordance with DFARS 252.211-7003.</w:t>
      </w:r>
    </w:p>
    <w:p w14:paraId="14AE16B3" w14:textId="77777777" w:rsidR="006545B7" w:rsidRPr="006545B7" w:rsidRDefault="006545B7" w:rsidP="00CE47F0">
      <w:pPr>
        <w:pStyle w:val="ListParagraph"/>
        <w:jc w:val="both"/>
        <w:rPr>
          <w:sz w:val="22"/>
          <w:szCs w:val="22"/>
        </w:rPr>
      </w:pPr>
    </w:p>
    <w:p w14:paraId="75A99E93" w14:textId="77777777" w:rsidR="006545B7" w:rsidRDefault="006545B7" w:rsidP="00CE47F0">
      <w:pPr>
        <w:pStyle w:val="ListParagraph"/>
        <w:numPr>
          <w:ilvl w:val="1"/>
          <w:numId w:val="1"/>
        </w:numPr>
        <w:jc w:val="both"/>
        <w:rPr>
          <w:sz w:val="22"/>
          <w:szCs w:val="22"/>
        </w:rPr>
      </w:pPr>
      <w:r w:rsidRPr="00D142CE">
        <w:rPr>
          <w:b/>
          <w:sz w:val="22"/>
          <w:szCs w:val="22"/>
        </w:rPr>
        <w:t>S</w:t>
      </w:r>
      <w:r>
        <w:rPr>
          <w:b/>
          <w:sz w:val="22"/>
          <w:szCs w:val="22"/>
        </w:rPr>
        <w:t>hip to A</w:t>
      </w:r>
      <w:r w:rsidRPr="00D142CE">
        <w:rPr>
          <w:b/>
          <w:sz w:val="22"/>
          <w:szCs w:val="22"/>
        </w:rPr>
        <w:t xml:space="preserve">ddress:  </w:t>
      </w:r>
      <w:r w:rsidRPr="00D142CE">
        <w:rPr>
          <w:sz w:val="22"/>
          <w:szCs w:val="22"/>
        </w:rPr>
        <w:t>The Contractor shall deliver all prototypes systems delivered under this contract to the following address:</w:t>
      </w:r>
    </w:p>
    <w:p w14:paraId="07356D89" w14:textId="77777777" w:rsidR="006545B7" w:rsidRPr="006545B7" w:rsidRDefault="006545B7" w:rsidP="00CE47F0">
      <w:pPr>
        <w:pStyle w:val="ListParagraph"/>
        <w:jc w:val="both"/>
        <w:rPr>
          <w:sz w:val="22"/>
          <w:szCs w:val="22"/>
        </w:rPr>
      </w:pPr>
    </w:p>
    <w:p w14:paraId="27B7C543" w14:textId="77777777" w:rsidR="006545B7" w:rsidRDefault="006545B7" w:rsidP="00CE47F0">
      <w:pPr>
        <w:pStyle w:val="ListParagraph"/>
        <w:ind w:left="1080"/>
        <w:jc w:val="both"/>
        <w:rPr>
          <w:sz w:val="22"/>
          <w:szCs w:val="22"/>
        </w:rPr>
      </w:pPr>
      <w:r>
        <w:rPr>
          <w:sz w:val="22"/>
          <w:szCs w:val="22"/>
        </w:rPr>
        <w:t>Naval Surface Warfare Center Crane Division (DoDAAC:  N00164)</w:t>
      </w:r>
    </w:p>
    <w:p w14:paraId="5017606C" w14:textId="77777777" w:rsidR="006545B7" w:rsidRDefault="006545B7" w:rsidP="00CE47F0">
      <w:pPr>
        <w:pStyle w:val="ListParagraph"/>
        <w:ind w:left="1080"/>
        <w:jc w:val="both"/>
        <w:rPr>
          <w:sz w:val="22"/>
          <w:szCs w:val="22"/>
        </w:rPr>
      </w:pPr>
      <w:r>
        <w:rPr>
          <w:sz w:val="22"/>
          <w:szCs w:val="22"/>
        </w:rPr>
        <w:t>Audrey Robinson/David Curry</w:t>
      </w:r>
    </w:p>
    <w:p w14:paraId="2BDAFB35" w14:textId="77777777" w:rsidR="006545B7" w:rsidRDefault="006545B7" w:rsidP="00CE47F0">
      <w:pPr>
        <w:pStyle w:val="ListParagraph"/>
        <w:ind w:left="1080"/>
        <w:jc w:val="both"/>
        <w:rPr>
          <w:sz w:val="22"/>
          <w:szCs w:val="22"/>
        </w:rPr>
      </w:pPr>
      <w:r>
        <w:rPr>
          <w:sz w:val="22"/>
          <w:szCs w:val="22"/>
        </w:rPr>
        <w:t>Bldg 3291, Code JXQR</w:t>
      </w:r>
    </w:p>
    <w:p w14:paraId="0AE3F048" w14:textId="77777777" w:rsidR="006545B7" w:rsidRDefault="006545B7" w:rsidP="00CE47F0">
      <w:pPr>
        <w:pStyle w:val="ListParagraph"/>
        <w:ind w:left="1080"/>
        <w:jc w:val="both"/>
        <w:rPr>
          <w:sz w:val="22"/>
          <w:szCs w:val="22"/>
        </w:rPr>
      </w:pPr>
      <w:r>
        <w:rPr>
          <w:sz w:val="22"/>
          <w:szCs w:val="22"/>
        </w:rPr>
        <w:t>300 HWY 361</w:t>
      </w:r>
    </w:p>
    <w:p w14:paraId="6585AD55" w14:textId="77777777" w:rsidR="006545B7" w:rsidRDefault="006545B7" w:rsidP="00CE47F0">
      <w:pPr>
        <w:pStyle w:val="ListParagraph"/>
        <w:ind w:left="1080"/>
        <w:jc w:val="both"/>
        <w:rPr>
          <w:sz w:val="22"/>
          <w:szCs w:val="22"/>
        </w:rPr>
      </w:pPr>
      <w:r>
        <w:rPr>
          <w:sz w:val="22"/>
          <w:szCs w:val="22"/>
        </w:rPr>
        <w:t>CRANE, IN 47522-5001</w:t>
      </w:r>
    </w:p>
    <w:p w14:paraId="5457720A" w14:textId="77777777" w:rsidR="006545B7" w:rsidRDefault="006545B7" w:rsidP="00CE47F0">
      <w:pPr>
        <w:pStyle w:val="ListParagraph"/>
        <w:ind w:left="1080"/>
        <w:jc w:val="both"/>
        <w:rPr>
          <w:sz w:val="22"/>
          <w:szCs w:val="22"/>
        </w:rPr>
      </w:pPr>
      <w:r>
        <w:rPr>
          <w:sz w:val="22"/>
          <w:szCs w:val="22"/>
        </w:rPr>
        <w:t>(812) 854</w:t>
      </w:r>
      <w:r w:rsidR="00FD29F1">
        <w:rPr>
          <w:sz w:val="22"/>
          <w:szCs w:val="22"/>
        </w:rPr>
        <w:t>-4399/(812) 296-2150</w:t>
      </w:r>
    </w:p>
    <w:p w14:paraId="39BED382" w14:textId="77777777" w:rsidR="00FD29F1" w:rsidRDefault="00FD29F1" w:rsidP="00CE47F0">
      <w:pPr>
        <w:pStyle w:val="ListParagraph"/>
        <w:ind w:left="1080"/>
        <w:jc w:val="both"/>
        <w:rPr>
          <w:sz w:val="22"/>
          <w:szCs w:val="22"/>
        </w:rPr>
      </w:pPr>
    </w:p>
    <w:p w14:paraId="68C4EEF3" w14:textId="77777777" w:rsidR="00FD29F1" w:rsidRPr="00FD29F1" w:rsidRDefault="00FD29F1" w:rsidP="00CE47F0">
      <w:pPr>
        <w:pStyle w:val="ListParagraph"/>
        <w:numPr>
          <w:ilvl w:val="1"/>
          <w:numId w:val="1"/>
        </w:numPr>
        <w:jc w:val="both"/>
        <w:rPr>
          <w:b/>
          <w:sz w:val="22"/>
          <w:szCs w:val="22"/>
        </w:rPr>
      </w:pPr>
      <w:r w:rsidRPr="00FD29F1">
        <w:rPr>
          <w:b/>
          <w:sz w:val="22"/>
          <w:szCs w:val="22"/>
        </w:rPr>
        <w:t>Shipping Costs:</w:t>
      </w:r>
      <w:r>
        <w:rPr>
          <w:sz w:val="22"/>
          <w:szCs w:val="22"/>
        </w:rPr>
        <w:t xml:space="preserve">  The Contractor shall pay all the costs to ship all product deliverables to and from the validation testing/demonstration sites and to the final delivery location.</w:t>
      </w:r>
    </w:p>
    <w:p w14:paraId="660FE07A" w14:textId="77777777" w:rsidR="00FD29F1" w:rsidRPr="00FD29F1" w:rsidRDefault="00FD29F1" w:rsidP="00CE47F0">
      <w:pPr>
        <w:pStyle w:val="ListParagraph"/>
        <w:ind w:left="1080"/>
        <w:jc w:val="both"/>
        <w:rPr>
          <w:b/>
          <w:sz w:val="22"/>
          <w:szCs w:val="22"/>
        </w:rPr>
      </w:pPr>
    </w:p>
    <w:p w14:paraId="0A23A05C" w14:textId="1A0870CF" w:rsidR="00FD29F1" w:rsidRPr="00FD29F1" w:rsidRDefault="00121D35" w:rsidP="00CE47F0">
      <w:pPr>
        <w:pStyle w:val="ListParagraph"/>
        <w:numPr>
          <w:ilvl w:val="0"/>
          <w:numId w:val="1"/>
        </w:numPr>
        <w:ind w:left="720"/>
        <w:jc w:val="both"/>
        <w:rPr>
          <w:b/>
          <w:sz w:val="22"/>
          <w:szCs w:val="22"/>
        </w:rPr>
      </w:pPr>
      <w:r>
        <w:rPr>
          <w:b/>
          <w:sz w:val="22"/>
          <w:szCs w:val="22"/>
        </w:rPr>
        <w:t>Document Deliverables</w:t>
      </w:r>
      <w:r w:rsidR="00FD29F1">
        <w:rPr>
          <w:b/>
          <w:sz w:val="22"/>
          <w:szCs w:val="22"/>
        </w:rPr>
        <w:t>:</w:t>
      </w:r>
      <w:r w:rsidR="00FD29F1">
        <w:rPr>
          <w:sz w:val="22"/>
          <w:szCs w:val="22"/>
        </w:rPr>
        <w:t xml:space="preserve">  The Contractor shall provide the following documents to the respective specified addresses during the Phase II Period of Performance</w:t>
      </w:r>
      <w:r w:rsidR="00027DC6" w:rsidRPr="00027DC6">
        <w:rPr>
          <w:sz w:val="22"/>
          <w:szCs w:val="22"/>
        </w:rPr>
        <w:t xml:space="preserve"> </w:t>
      </w:r>
      <w:r w:rsidR="00027DC6">
        <w:rPr>
          <w:sz w:val="22"/>
          <w:szCs w:val="22"/>
        </w:rPr>
        <w:t>respective contract data requirements list (CDRL)</w:t>
      </w:r>
      <w:r w:rsidR="00FD29F1">
        <w:rPr>
          <w:sz w:val="22"/>
          <w:szCs w:val="22"/>
        </w:rPr>
        <w:t>:</w:t>
      </w:r>
    </w:p>
    <w:p w14:paraId="13CB9C73" w14:textId="77777777" w:rsidR="00FD29F1" w:rsidRDefault="00FD29F1" w:rsidP="00CE47F0">
      <w:pPr>
        <w:jc w:val="both"/>
        <w:rPr>
          <w:sz w:val="22"/>
          <w:szCs w:val="22"/>
        </w:rPr>
      </w:pPr>
    </w:p>
    <w:p w14:paraId="053DB602" w14:textId="77777777" w:rsidR="00C2612E" w:rsidRPr="00C2612E" w:rsidRDefault="00C2612E" w:rsidP="00CE47F0">
      <w:pPr>
        <w:pStyle w:val="ListParagraph"/>
        <w:numPr>
          <w:ilvl w:val="0"/>
          <w:numId w:val="5"/>
        </w:numPr>
        <w:jc w:val="both"/>
        <w:rPr>
          <w:sz w:val="22"/>
          <w:szCs w:val="22"/>
        </w:rPr>
      </w:pPr>
      <w:r w:rsidRPr="00C2612E">
        <w:rPr>
          <w:sz w:val="22"/>
          <w:szCs w:val="22"/>
        </w:rPr>
        <w:t>Kick-Off/System Requirements Review: See CDRL A001.</w:t>
      </w:r>
    </w:p>
    <w:p w14:paraId="2B7C101E" w14:textId="77777777" w:rsidR="00C2612E" w:rsidRPr="00C2612E" w:rsidRDefault="00C2612E" w:rsidP="00CE47F0">
      <w:pPr>
        <w:pStyle w:val="ListParagraph"/>
        <w:numPr>
          <w:ilvl w:val="0"/>
          <w:numId w:val="5"/>
        </w:numPr>
        <w:jc w:val="both"/>
        <w:rPr>
          <w:sz w:val="22"/>
          <w:szCs w:val="22"/>
        </w:rPr>
      </w:pPr>
      <w:r w:rsidRPr="00C2612E">
        <w:rPr>
          <w:sz w:val="22"/>
          <w:szCs w:val="22"/>
        </w:rPr>
        <w:t>Monthly Progress Reports: See CDRL A002.</w:t>
      </w:r>
    </w:p>
    <w:p w14:paraId="2DAAE442" w14:textId="5D3A66E8" w:rsidR="00C2612E" w:rsidRPr="00C2612E" w:rsidRDefault="00C2612E" w:rsidP="00CE47F0">
      <w:pPr>
        <w:pStyle w:val="ListParagraph"/>
        <w:numPr>
          <w:ilvl w:val="0"/>
          <w:numId w:val="5"/>
        </w:numPr>
        <w:jc w:val="both"/>
        <w:rPr>
          <w:sz w:val="22"/>
          <w:szCs w:val="22"/>
        </w:rPr>
      </w:pPr>
      <w:r w:rsidRPr="00C2612E">
        <w:rPr>
          <w:sz w:val="22"/>
          <w:szCs w:val="22"/>
        </w:rPr>
        <w:t>Developmental Test Plan for Performance Validation: See CDRL A00</w:t>
      </w:r>
      <w:r w:rsidR="00252850">
        <w:rPr>
          <w:sz w:val="22"/>
          <w:szCs w:val="22"/>
        </w:rPr>
        <w:t>3</w:t>
      </w:r>
      <w:r w:rsidRPr="00C2612E">
        <w:rPr>
          <w:sz w:val="22"/>
          <w:szCs w:val="22"/>
        </w:rPr>
        <w:t>.</w:t>
      </w:r>
    </w:p>
    <w:p w14:paraId="10038C80" w14:textId="79BA333F" w:rsidR="00C2612E" w:rsidRPr="00C2612E" w:rsidRDefault="00C2612E" w:rsidP="00CE47F0">
      <w:pPr>
        <w:pStyle w:val="ListParagraph"/>
        <w:numPr>
          <w:ilvl w:val="0"/>
          <w:numId w:val="5"/>
        </w:numPr>
        <w:jc w:val="both"/>
        <w:rPr>
          <w:sz w:val="22"/>
          <w:szCs w:val="22"/>
        </w:rPr>
      </w:pPr>
      <w:r w:rsidRPr="00C2612E">
        <w:rPr>
          <w:sz w:val="22"/>
          <w:szCs w:val="22"/>
        </w:rPr>
        <w:t>Developmental Test Report for Performance Validation: See CDRL A00</w:t>
      </w:r>
      <w:r w:rsidR="00252850">
        <w:rPr>
          <w:sz w:val="22"/>
          <w:szCs w:val="22"/>
        </w:rPr>
        <w:t>4</w:t>
      </w:r>
      <w:r w:rsidRPr="00C2612E">
        <w:rPr>
          <w:sz w:val="22"/>
          <w:szCs w:val="22"/>
        </w:rPr>
        <w:t>.</w:t>
      </w:r>
    </w:p>
    <w:p w14:paraId="7331B9C7" w14:textId="5CF09208" w:rsidR="00C2612E" w:rsidRPr="00C2612E" w:rsidRDefault="00C2612E" w:rsidP="00CE47F0">
      <w:pPr>
        <w:pStyle w:val="ListParagraph"/>
        <w:numPr>
          <w:ilvl w:val="0"/>
          <w:numId w:val="5"/>
        </w:numPr>
        <w:jc w:val="both"/>
        <w:rPr>
          <w:sz w:val="22"/>
          <w:szCs w:val="22"/>
        </w:rPr>
      </w:pPr>
      <w:r w:rsidRPr="00C2612E">
        <w:rPr>
          <w:sz w:val="22"/>
          <w:szCs w:val="22"/>
        </w:rPr>
        <w:t>Business Plans: See CDRL A00</w:t>
      </w:r>
      <w:r w:rsidR="00252850">
        <w:rPr>
          <w:sz w:val="22"/>
          <w:szCs w:val="22"/>
        </w:rPr>
        <w:t>5</w:t>
      </w:r>
      <w:r w:rsidRPr="00C2612E">
        <w:rPr>
          <w:sz w:val="22"/>
          <w:szCs w:val="22"/>
        </w:rPr>
        <w:t>.</w:t>
      </w:r>
    </w:p>
    <w:p w14:paraId="55B0F8BC" w14:textId="0AA3CD70" w:rsidR="00C2612E" w:rsidRPr="00C2612E" w:rsidRDefault="00C2612E" w:rsidP="00CE47F0">
      <w:pPr>
        <w:pStyle w:val="ListParagraph"/>
        <w:numPr>
          <w:ilvl w:val="0"/>
          <w:numId w:val="5"/>
        </w:numPr>
        <w:jc w:val="both"/>
        <w:rPr>
          <w:color w:val="000000" w:themeColor="text1"/>
          <w:sz w:val="22"/>
          <w:szCs w:val="22"/>
        </w:rPr>
      </w:pPr>
      <w:r w:rsidRPr="00C2612E">
        <w:rPr>
          <w:sz w:val="22"/>
          <w:szCs w:val="22"/>
        </w:rPr>
        <w:t xml:space="preserve">Final </w:t>
      </w:r>
      <w:r w:rsidRPr="00C2612E">
        <w:rPr>
          <w:color w:val="000000" w:themeColor="text1"/>
          <w:sz w:val="22"/>
          <w:szCs w:val="22"/>
        </w:rPr>
        <w:t>Technical Report: See CDRL A00</w:t>
      </w:r>
      <w:r w:rsidR="00252850">
        <w:rPr>
          <w:color w:val="000000" w:themeColor="text1"/>
          <w:sz w:val="22"/>
          <w:szCs w:val="22"/>
        </w:rPr>
        <w:t>6</w:t>
      </w:r>
      <w:r w:rsidRPr="00C2612E">
        <w:rPr>
          <w:color w:val="000000" w:themeColor="text1"/>
          <w:sz w:val="22"/>
          <w:szCs w:val="22"/>
        </w:rPr>
        <w:t>.</w:t>
      </w:r>
    </w:p>
    <w:p w14:paraId="06F375E0" w14:textId="57F1B5F6" w:rsidR="00C2612E" w:rsidRPr="00C2612E" w:rsidRDefault="00C2612E" w:rsidP="00CE47F0">
      <w:pPr>
        <w:pStyle w:val="ListParagraph"/>
        <w:numPr>
          <w:ilvl w:val="0"/>
          <w:numId w:val="5"/>
        </w:numPr>
        <w:jc w:val="both"/>
        <w:rPr>
          <w:color w:val="000000" w:themeColor="text1"/>
          <w:sz w:val="22"/>
          <w:szCs w:val="22"/>
        </w:rPr>
      </w:pPr>
      <w:r w:rsidRPr="00C2612E">
        <w:rPr>
          <w:color w:val="000000" w:themeColor="text1"/>
          <w:sz w:val="22"/>
          <w:szCs w:val="22"/>
        </w:rPr>
        <w:t>Preliminary Design Review – Design Review Information Package: See CDRL A00</w:t>
      </w:r>
      <w:r w:rsidR="00252850">
        <w:rPr>
          <w:color w:val="000000" w:themeColor="text1"/>
          <w:sz w:val="22"/>
          <w:szCs w:val="22"/>
        </w:rPr>
        <w:t>7</w:t>
      </w:r>
      <w:r w:rsidRPr="00C2612E">
        <w:rPr>
          <w:color w:val="000000" w:themeColor="text1"/>
          <w:sz w:val="22"/>
          <w:szCs w:val="22"/>
        </w:rPr>
        <w:t>.</w:t>
      </w:r>
    </w:p>
    <w:p w14:paraId="44FDB4EB" w14:textId="6B25F35A" w:rsidR="00C2612E" w:rsidRPr="00C2612E" w:rsidRDefault="00C2612E" w:rsidP="00CE47F0">
      <w:pPr>
        <w:pStyle w:val="ListParagraph"/>
        <w:numPr>
          <w:ilvl w:val="0"/>
          <w:numId w:val="5"/>
        </w:numPr>
        <w:jc w:val="both"/>
        <w:rPr>
          <w:color w:val="000000" w:themeColor="text1"/>
          <w:sz w:val="22"/>
          <w:szCs w:val="22"/>
        </w:rPr>
      </w:pPr>
      <w:r w:rsidRPr="00C2612E">
        <w:rPr>
          <w:color w:val="000000" w:themeColor="text1"/>
          <w:sz w:val="22"/>
          <w:szCs w:val="22"/>
        </w:rPr>
        <w:t>Critical Design Review - Design Review Information Package: See CDRL A00</w:t>
      </w:r>
      <w:r w:rsidR="00252850">
        <w:rPr>
          <w:color w:val="000000" w:themeColor="text1"/>
          <w:sz w:val="22"/>
          <w:szCs w:val="22"/>
        </w:rPr>
        <w:t>8</w:t>
      </w:r>
      <w:r w:rsidRPr="00C2612E">
        <w:rPr>
          <w:color w:val="000000" w:themeColor="text1"/>
          <w:sz w:val="22"/>
          <w:szCs w:val="22"/>
        </w:rPr>
        <w:t>.</w:t>
      </w:r>
    </w:p>
    <w:p w14:paraId="54127698" w14:textId="77777777" w:rsidR="00FD29F1" w:rsidRDefault="00FD29F1" w:rsidP="00CE47F0">
      <w:pPr>
        <w:jc w:val="both"/>
        <w:rPr>
          <w:b/>
          <w:sz w:val="22"/>
          <w:szCs w:val="22"/>
        </w:rPr>
      </w:pPr>
    </w:p>
    <w:p w14:paraId="635C97DB" w14:textId="0112F086" w:rsidR="00FD29F1" w:rsidRDefault="00FD29F1" w:rsidP="00CE47F0">
      <w:pPr>
        <w:jc w:val="both"/>
        <w:rPr>
          <w:sz w:val="22"/>
          <w:szCs w:val="22"/>
        </w:rPr>
      </w:pPr>
      <w:r>
        <w:rPr>
          <w:b/>
          <w:sz w:val="22"/>
          <w:szCs w:val="22"/>
        </w:rPr>
        <w:lastRenderedPageBreak/>
        <w:t>V.  TESTS AND DEMONSTRATIONS:</w:t>
      </w:r>
      <w:r>
        <w:rPr>
          <w:sz w:val="22"/>
          <w:szCs w:val="22"/>
        </w:rPr>
        <w:t xml:space="preserve">  The Contractor shall conduct tests and demonstrations to validate that the </w:t>
      </w:r>
      <w:r w:rsidR="00140FE5">
        <w:rPr>
          <w:sz w:val="22"/>
          <w:szCs w:val="22"/>
        </w:rPr>
        <w:t>LWPI2C</w:t>
      </w:r>
      <w:r>
        <w:rPr>
          <w:sz w:val="22"/>
          <w:szCs w:val="22"/>
        </w:rPr>
        <w:t xml:space="preserve"> meets or exceeds all the requirements specified in this Statement of Objectives. </w:t>
      </w:r>
      <w:r w:rsidRPr="003B26C8">
        <w:rPr>
          <w:sz w:val="22"/>
          <w:szCs w:val="22"/>
        </w:rPr>
        <w:t xml:space="preserve"> </w:t>
      </w:r>
      <w:r w:rsidR="00396172">
        <w:rPr>
          <w:sz w:val="22"/>
          <w:szCs w:val="22"/>
        </w:rPr>
        <w:t xml:space="preserve">(See </w:t>
      </w:r>
      <w:r>
        <w:rPr>
          <w:sz w:val="22"/>
          <w:szCs w:val="22"/>
        </w:rPr>
        <w:t>CDRL A00</w:t>
      </w:r>
      <w:r w:rsidR="00252850">
        <w:rPr>
          <w:sz w:val="22"/>
          <w:szCs w:val="22"/>
        </w:rPr>
        <w:t>3</w:t>
      </w:r>
      <w:r w:rsidR="00E002AA">
        <w:rPr>
          <w:sz w:val="22"/>
          <w:szCs w:val="22"/>
        </w:rPr>
        <w:t xml:space="preserve"> and CDRL A00</w:t>
      </w:r>
      <w:r w:rsidR="00252850">
        <w:rPr>
          <w:sz w:val="22"/>
          <w:szCs w:val="22"/>
        </w:rPr>
        <w:t>4</w:t>
      </w:r>
      <w:r>
        <w:rPr>
          <w:sz w:val="22"/>
          <w:szCs w:val="22"/>
        </w:rPr>
        <w:t>)</w:t>
      </w:r>
      <w:r w:rsidRPr="003B26C8">
        <w:rPr>
          <w:sz w:val="22"/>
          <w:szCs w:val="22"/>
        </w:rPr>
        <w:t xml:space="preserve">.  </w:t>
      </w:r>
    </w:p>
    <w:p w14:paraId="723AA950" w14:textId="77777777" w:rsidR="00FD29F1" w:rsidRDefault="00FD29F1" w:rsidP="00CE47F0">
      <w:pPr>
        <w:pStyle w:val="ListParagraph"/>
        <w:jc w:val="both"/>
        <w:rPr>
          <w:sz w:val="22"/>
          <w:szCs w:val="22"/>
        </w:rPr>
      </w:pPr>
    </w:p>
    <w:p w14:paraId="4F7E4C76" w14:textId="11C4A3E1" w:rsidR="00FD29F1" w:rsidRPr="00FD29F1" w:rsidRDefault="00FD29F1" w:rsidP="00CE47F0">
      <w:pPr>
        <w:pStyle w:val="ListParagraph"/>
        <w:numPr>
          <w:ilvl w:val="0"/>
          <w:numId w:val="4"/>
        </w:numPr>
        <w:jc w:val="both"/>
        <w:rPr>
          <w:sz w:val="22"/>
          <w:szCs w:val="22"/>
        </w:rPr>
      </w:pPr>
      <w:r w:rsidRPr="00FD29F1">
        <w:rPr>
          <w:sz w:val="22"/>
          <w:szCs w:val="22"/>
        </w:rPr>
        <w:t xml:space="preserve">The Contractor shall demonstrate that the </w:t>
      </w:r>
      <w:r w:rsidR="00140FE5" w:rsidRPr="00140FE5">
        <w:rPr>
          <w:sz w:val="22"/>
          <w:szCs w:val="22"/>
        </w:rPr>
        <w:t>LWPI2C</w:t>
      </w:r>
      <w:r w:rsidRPr="00FD29F1">
        <w:rPr>
          <w:sz w:val="22"/>
          <w:szCs w:val="22"/>
        </w:rPr>
        <w:t xml:space="preserve"> meets or exceeds the performance of the</w:t>
      </w:r>
      <w:r w:rsidRPr="00FD29F1">
        <w:rPr>
          <w:color w:val="FF0000"/>
          <w:sz w:val="22"/>
          <w:szCs w:val="22"/>
        </w:rPr>
        <w:t xml:space="preserve"> </w:t>
      </w:r>
      <w:r w:rsidRPr="000870C4">
        <w:rPr>
          <w:sz w:val="22"/>
          <w:szCs w:val="22"/>
        </w:rPr>
        <w:t>detailed requirements above</w:t>
      </w:r>
      <w:r w:rsidRPr="00FD29F1">
        <w:rPr>
          <w:sz w:val="22"/>
          <w:szCs w:val="22"/>
        </w:rPr>
        <w:t>.   (See CDRL A00</w:t>
      </w:r>
      <w:r w:rsidR="00252850">
        <w:rPr>
          <w:sz w:val="22"/>
          <w:szCs w:val="22"/>
        </w:rPr>
        <w:t>3</w:t>
      </w:r>
      <w:r w:rsidRPr="00FD29F1">
        <w:rPr>
          <w:sz w:val="22"/>
          <w:szCs w:val="22"/>
        </w:rPr>
        <w:t xml:space="preserve"> and CDRL A00</w:t>
      </w:r>
      <w:r w:rsidR="00252850">
        <w:rPr>
          <w:sz w:val="22"/>
          <w:szCs w:val="22"/>
        </w:rPr>
        <w:t>4</w:t>
      </w:r>
      <w:r w:rsidRPr="00FD29F1">
        <w:rPr>
          <w:sz w:val="22"/>
          <w:szCs w:val="22"/>
        </w:rPr>
        <w:t>).</w:t>
      </w:r>
    </w:p>
    <w:p w14:paraId="3B482202" w14:textId="77777777" w:rsidR="001D13FB" w:rsidRDefault="001D13FB" w:rsidP="00CE47F0">
      <w:pPr>
        <w:jc w:val="both"/>
        <w:rPr>
          <w:sz w:val="22"/>
          <w:szCs w:val="22"/>
        </w:rPr>
      </w:pPr>
    </w:p>
    <w:p w14:paraId="11C33C3D" w14:textId="77777777" w:rsidR="00BA5776" w:rsidRDefault="001D13FB" w:rsidP="00BA5776">
      <w:pPr>
        <w:jc w:val="both"/>
        <w:rPr>
          <w:sz w:val="22"/>
          <w:szCs w:val="22"/>
        </w:rPr>
      </w:pPr>
      <w:r w:rsidRPr="000870C4">
        <w:rPr>
          <w:sz w:val="22"/>
          <w:szCs w:val="22"/>
        </w:rPr>
        <w:t>VI.</w:t>
      </w:r>
      <w:r w:rsidRPr="000870C4">
        <w:rPr>
          <w:color w:val="FF0000"/>
          <w:sz w:val="22"/>
          <w:szCs w:val="22"/>
        </w:rPr>
        <w:t xml:space="preserve">  </w:t>
      </w:r>
      <w:r w:rsidRPr="000870C4">
        <w:rPr>
          <w:b/>
          <w:sz w:val="22"/>
          <w:szCs w:val="22"/>
        </w:rPr>
        <w:t>ENVIRONMENTAL AND SAFETY:</w:t>
      </w:r>
      <w:r>
        <w:rPr>
          <w:sz w:val="22"/>
          <w:szCs w:val="22"/>
        </w:rPr>
        <w:t xml:space="preserve">  </w:t>
      </w:r>
      <w:r w:rsidR="00B76195">
        <w:rPr>
          <w:sz w:val="22"/>
          <w:szCs w:val="22"/>
        </w:rPr>
        <w:t xml:space="preserve"> </w:t>
      </w:r>
    </w:p>
    <w:p w14:paraId="09EABE2A" w14:textId="77777777" w:rsidR="00BA5776" w:rsidRDefault="00BA5776" w:rsidP="00BA5776">
      <w:pPr>
        <w:jc w:val="both"/>
        <w:rPr>
          <w:sz w:val="22"/>
          <w:szCs w:val="22"/>
        </w:rPr>
      </w:pPr>
      <w:r>
        <w:rPr>
          <w:sz w:val="22"/>
          <w:szCs w:val="22"/>
        </w:rPr>
        <w:tab/>
      </w:r>
      <w:hyperlink r:id="rId10" w:history="1">
        <w:r>
          <w:rPr>
            <w:rStyle w:val="Hyperlink"/>
            <w:sz w:val="22"/>
            <w:szCs w:val="22"/>
          </w:rPr>
          <w:t>http://everyspec.com/MIL-STD/MIL-STD-1800-1999/MIL-STD-1913_17705/</w:t>
        </w:r>
      </w:hyperlink>
    </w:p>
    <w:p w14:paraId="0D8E081C" w14:textId="77777777" w:rsidR="00BA5776" w:rsidRDefault="00BA5776" w:rsidP="00BA5776">
      <w:pPr>
        <w:jc w:val="both"/>
        <w:rPr>
          <w:sz w:val="22"/>
          <w:szCs w:val="22"/>
        </w:rPr>
      </w:pPr>
      <w:r>
        <w:rPr>
          <w:sz w:val="22"/>
          <w:szCs w:val="22"/>
        </w:rPr>
        <w:tab/>
      </w:r>
    </w:p>
    <w:p w14:paraId="1CD9CC27" w14:textId="77777777" w:rsidR="00BA5776" w:rsidRDefault="00BA5776" w:rsidP="00BA5776">
      <w:pPr>
        <w:jc w:val="both"/>
        <w:rPr>
          <w:sz w:val="22"/>
          <w:szCs w:val="22"/>
        </w:rPr>
      </w:pPr>
      <w:r>
        <w:rPr>
          <w:sz w:val="22"/>
          <w:szCs w:val="22"/>
        </w:rPr>
        <w:tab/>
      </w:r>
      <w:hyperlink r:id="rId11" w:history="1">
        <w:r>
          <w:rPr>
            <w:rStyle w:val="Hyperlink"/>
            <w:sz w:val="22"/>
            <w:szCs w:val="22"/>
          </w:rPr>
          <w:t>http://everyspec.com/MIL-STD/MIL-STD-0800-0899/MIL-STD-810H_55998/</w:t>
        </w:r>
      </w:hyperlink>
    </w:p>
    <w:p w14:paraId="6E7518C8" w14:textId="698CFF4E" w:rsidR="00BA5776" w:rsidRDefault="00BA5776" w:rsidP="00CE47F0">
      <w:pPr>
        <w:jc w:val="both"/>
        <w:rPr>
          <w:sz w:val="22"/>
          <w:szCs w:val="22"/>
        </w:rPr>
      </w:pPr>
    </w:p>
    <w:p w14:paraId="0EB71BED" w14:textId="77777777" w:rsidR="001D13FB" w:rsidRDefault="001D13FB" w:rsidP="00CE47F0">
      <w:pPr>
        <w:jc w:val="both"/>
        <w:rPr>
          <w:sz w:val="22"/>
          <w:szCs w:val="22"/>
        </w:rPr>
      </w:pPr>
    </w:p>
    <w:p w14:paraId="21B713D6" w14:textId="1EB0D3B5" w:rsidR="001D13FB" w:rsidRDefault="001D13FB" w:rsidP="00CE47F0">
      <w:pPr>
        <w:jc w:val="both"/>
        <w:rPr>
          <w:sz w:val="22"/>
          <w:szCs w:val="22"/>
        </w:rPr>
      </w:pPr>
      <w:r w:rsidRPr="000870C4">
        <w:rPr>
          <w:sz w:val="22"/>
          <w:szCs w:val="22"/>
        </w:rPr>
        <w:t>VII.</w:t>
      </w:r>
      <w:r w:rsidRPr="000870C4">
        <w:rPr>
          <w:b/>
          <w:sz w:val="22"/>
          <w:szCs w:val="22"/>
        </w:rPr>
        <w:t xml:space="preserve"> GOVERNMENT FURNISHED PROPERTY (GFP)/</w:t>
      </w:r>
      <w:r w:rsidRPr="00B24A63">
        <w:rPr>
          <w:b/>
          <w:sz w:val="22"/>
          <w:szCs w:val="22"/>
        </w:rPr>
        <w:t>GOVERNMENT FURNISHED PROPERTY (GF</w:t>
      </w:r>
      <w:r>
        <w:rPr>
          <w:b/>
          <w:sz w:val="22"/>
          <w:szCs w:val="22"/>
        </w:rPr>
        <w:t>E</w:t>
      </w:r>
      <w:r w:rsidRPr="00B24A63">
        <w:rPr>
          <w:b/>
          <w:sz w:val="22"/>
          <w:szCs w:val="22"/>
        </w:rPr>
        <w:t>)</w:t>
      </w:r>
      <w:r>
        <w:rPr>
          <w:b/>
          <w:sz w:val="22"/>
          <w:szCs w:val="22"/>
        </w:rPr>
        <w:t>/</w:t>
      </w:r>
      <w:r w:rsidRPr="00B24A63">
        <w:rPr>
          <w:b/>
          <w:sz w:val="22"/>
          <w:szCs w:val="22"/>
        </w:rPr>
        <w:t xml:space="preserve">GOVERNMENT FURNISHED INFORMATION (GFI): </w:t>
      </w:r>
      <w:r>
        <w:rPr>
          <w:b/>
          <w:sz w:val="22"/>
          <w:szCs w:val="22"/>
        </w:rPr>
        <w:t xml:space="preserve"> </w:t>
      </w:r>
      <w:r w:rsidRPr="000870C4">
        <w:rPr>
          <w:sz w:val="22"/>
          <w:szCs w:val="22"/>
        </w:rPr>
        <w:t>The Government does not intend to provide the Contractor any GFP, GFE</w:t>
      </w:r>
      <w:r w:rsidR="00027DC6">
        <w:rPr>
          <w:sz w:val="22"/>
          <w:szCs w:val="22"/>
        </w:rPr>
        <w:t>,</w:t>
      </w:r>
      <w:r w:rsidRPr="000870C4">
        <w:rPr>
          <w:sz w:val="22"/>
          <w:szCs w:val="22"/>
        </w:rPr>
        <w:t xml:space="preserve"> or GFI.  However, the Contractor shall specify by stock number and nomenclature any GFP/GFE/GFI the Contractor believes is needed to successfully complete the requirements specified </w:t>
      </w:r>
      <w:r w:rsidR="00B76195" w:rsidRPr="000870C4">
        <w:rPr>
          <w:sz w:val="22"/>
          <w:szCs w:val="22"/>
        </w:rPr>
        <w:t>in this Statement of Objectives</w:t>
      </w:r>
      <w:r w:rsidRPr="000870C4">
        <w:rPr>
          <w:sz w:val="22"/>
          <w:szCs w:val="22"/>
        </w:rPr>
        <w:t xml:space="preserve">. </w:t>
      </w:r>
    </w:p>
    <w:p w14:paraId="0780D030" w14:textId="77777777" w:rsidR="001D13FB" w:rsidRDefault="001D13FB" w:rsidP="00CE47F0">
      <w:pPr>
        <w:jc w:val="both"/>
        <w:rPr>
          <w:color w:val="FF0000"/>
          <w:sz w:val="22"/>
          <w:szCs w:val="22"/>
        </w:rPr>
      </w:pPr>
    </w:p>
    <w:p w14:paraId="73BF73F0" w14:textId="77777777" w:rsidR="001D13FB" w:rsidRDefault="001D13FB" w:rsidP="00CE47F0">
      <w:pPr>
        <w:jc w:val="both"/>
        <w:rPr>
          <w:color w:val="FF0000"/>
          <w:sz w:val="22"/>
          <w:szCs w:val="22"/>
        </w:rPr>
      </w:pPr>
      <w:r>
        <w:rPr>
          <w:sz w:val="22"/>
          <w:szCs w:val="22"/>
        </w:rPr>
        <w:t xml:space="preserve">VIII. </w:t>
      </w:r>
      <w:r w:rsidRPr="00B24A63">
        <w:rPr>
          <w:b/>
          <w:caps/>
          <w:sz w:val="22"/>
          <w:szCs w:val="22"/>
        </w:rPr>
        <w:t>Period of Performance</w:t>
      </w:r>
      <w:r w:rsidRPr="00B24A63">
        <w:rPr>
          <w:b/>
          <w:sz w:val="22"/>
          <w:szCs w:val="22"/>
        </w:rPr>
        <w:t xml:space="preserve">: </w:t>
      </w:r>
      <w:r>
        <w:rPr>
          <w:b/>
          <w:sz w:val="22"/>
          <w:szCs w:val="22"/>
        </w:rPr>
        <w:t xml:space="preserve"> </w:t>
      </w:r>
      <w:r w:rsidRPr="00B24A63">
        <w:rPr>
          <w:sz w:val="22"/>
          <w:szCs w:val="22"/>
        </w:rPr>
        <w:t xml:space="preserve">The </w:t>
      </w:r>
      <w:r>
        <w:rPr>
          <w:sz w:val="22"/>
          <w:szCs w:val="22"/>
        </w:rPr>
        <w:t xml:space="preserve">maximum </w:t>
      </w:r>
      <w:r w:rsidRPr="00B24A63">
        <w:rPr>
          <w:sz w:val="22"/>
          <w:szCs w:val="22"/>
        </w:rPr>
        <w:t>Period of Performance for th</w:t>
      </w:r>
      <w:r>
        <w:rPr>
          <w:sz w:val="22"/>
          <w:szCs w:val="22"/>
        </w:rPr>
        <w:t>is</w:t>
      </w:r>
      <w:r w:rsidRPr="00B24A63">
        <w:rPr>
          <w:sz w:val="22"/>
          <w:szCs w:val="22"/>
        </w:rPr>
        <w:t xml:space="preserve"> Phase II effort is</w:t>
      </w:r>
      <w:r w:rsidRPr="000870C4">
        <w:rPr>
          <w:sz w:val="22"/>
          <w:szCs w:val="22"/>
        </w:rPr>
        <w:t xml:space="preserve"> </w:t>
      </w:r>
      <w:r w:rsidR="00CE47F0">
        <w:rPr>
          <w:sz w:val="22"/>
          <w:szCs w:val="22"/>
        </w:rPr>
        <w:t>twelve</w:t>
      </w:r>
      <w:r w:rsidRPr="000870C4">
        <w:rPr>
          <w:sz w:val="22"/>
          <w:szCs w:val="22"/>
        </w:rPr>
        <w:t xml:space="preserve"> (</w:t>
      </w:r>
      <w:r w:rsidR="00CE47F0">
        <w:rPr>
          <w:sz w:val="22"/>
          <w:szCs w:val="22"/>
        </w:rPr>
        <w:t>12</w:t>
      </w:r>
      <w:r w:rsidRPr="000870C4">
        <w:rPr>
          <w:sz w:val="22"/>
          <w:szCs w:val="22"/>
        </w:rPr>
        <w:t>) months.</w:t>
      </w:r>
      <w:r>
        <w:rPr>
          <w:sz w:val="22"/>
          <w:szCs w:val="22"/>
        </w:rPr>
        <w:t xml:space="preserve">  The Contractor can propose a lessor Period of Performance if a lessor Period of Performance does not jeopardize the Contractor’s successful completion of the requirements specified in this Statement of Objectives.</w:t>
      </w:r>
      <w:r w:rsidRPr="00484AF0">
        <w:rPr>
          <w:color w:val="FF0000"/>
          <w:sz w:val="22"/>
          <w:szCs w:val="22"/>
        </w:rPr>
        <w:t xml:space="preserve"> </w:t>
      </w:r>
    </w:p>
    <w:p w14:paraId="12CFA85D" w14:textId="77777777" w:rsidR="001D13FB" w:rsidRDefault="001D13FB" w:rsidP="00CE47F0">
      <w:pPr>
        <w:jc w:val="both"/>
        <w:rPr>
          <w:sz w:val="22"/>
          <w:szCs w:val="22"/>
        </w:rPr>
      </w:pPr>
    </w:p>
    <w:p w14:paraId="437ABA19" w14:textId="77777777" w:rsidR="001D13FB" w:rsidRPr="00B24A63" w:rsidRDefault="001D13FB" w:rsidP="00CE47F0">
      <w:pPr>
        <w:jc w:val="both"/>
        <w:rPr>
          <w:sz w:val="22"/>
          <w:szCs w:val="22"/>
        </w:rPr>
      </w:pPr>
      <w:r>
        <w:rPr>
          <w:sz w:val="22"/>
          <w:szCs w:val="22"/>
        </w:rPr>
        <w:t>IX</w:t>
      </w:r>
      <w:r w:rsidRPr="00F17DAF">
        <w:rPr>
          <w:sz w:val="22"/>
          <w:szCs w:val="22"/>
        </w:rPr>
        <w:t>.</w:t>
      </w:r>
      <w:r>
        <w:rPr>
          <w:b/>
          <w:sz w:val="22"/>
          <w:szCs w:val="22"/>
        </w:rPr>
        <w:t xml:space="preserve"> </w:t>
      </w:r>
      <w:r w:rsidRPr="00B24A63">
        <w:rPr>
          <w:b/>
          <w:sz w:val="22"/>
          <w:szCs w:val="22"/>
        </w:rPr>
        <w:t>MEETINGS AND REVIEWS</w:t>
      </w:r>
      <w:r w:rsidRPr="00B24A63">
        <w:rPr>
          <w:sz w:val="22"/>
          <w:szCs w:val="22"/>
        </w:rPr>
        <w:t xml:space="preserve">: </w:t>
      </w:r>
      <w:r>
        <w:rPr>
          <w:sz w:val="22"/>
          <w:szCs w:val="22"/>
        </w:rPr>
        <w:t xml:space="preserve"> </w:t>
      </w:r>
      <w:r w:rsidRPr="00B24A63">
        <w:rPr>
          <w:sz w:val="22"/>
          <w:szCs w:val="22"/>
        </w:rPr>
        <w:t>The Contractor shall attend the following meetings and reviews.</w:t>
      </w:r>
    </w:p>
    <w:p w14:paraId="56422167" w14:textId="77777777" w:rsidR="001D13FB" w:rsidRPr="00B24A63" w:rsidRDefault="001D13FB" w:rsidP="00CE47F0">
      <w:pPr>
        <w:jc w:val="both"/>
        <w:rPr>
          <w:sz w:val="22"/>
          <w:szCs w:val="22"/>
        </w:rPr>
      </w:pPr>
    </w:p>
    <w:p w14:paraId="420861D5" w14:textId="58304DC8" w:rsidR="001D13FB" w:rsidRPr="004D50E1" w:rsidRDefault="001D13FB" w:rsidP="00CE47F0">
      <w:pPr>
        <w:ind w:left="360"/>
        <w:jc w:val="both"/>
        <w:rPr>
          <w:sz w:val="22"/>
          <w:szCs w:val="22"/>
        </w:rPr>
      </w:pPr>
      <w:r>
        <w:rPr>
          <w:sz w:val="22"/>
          <w:szCs w:val="22"/>
        </w:rPr>
        <w:t xml:space="preserve">A.  </w:t>
      </w:r>
      <w:r w:rsidRPr="004D50E1">
        <w:rPr>
          <w:sz w:val="22"/>
          <w:szCs w:val="22"/>
        </w:rPr>
        <w:t>Phase II Kick-Off meeting shall be conducted</w:t>
      </w:r>
      <w:r>
        <w:rPr>
          <w:sz w:val="22"/>
          <w:szCs w:val="22"/>
        </w:rPr>
        <w:t xml:space="preserve"> </w:t>
      </w:r>
      <w:r w:rsidR="00027DC6">
        <w:rPr>
          <w:sz w:val="22"/>
          <w:szCs w:val="22"/>
        </w:rPr>
        <w:t xml:space="preserve">at the contractor’s facility </w:t>
      </w:r>
      <w:r w:rsidRPr="004D50E1">
        <w:rPr>
          <w:sz w:val="22"/>
          <w:szCs w:val="22"/>
        </w:rPr>
        <w:t xml:space="preserve">not later than thirty (30) calendar days after contract award.  The Contractor shall provide the Government: </w:t>
      </w:r>
    </w:p>
    <w:p w14:paraId="569DF40E" w14:textId="77777777" w:rsidR="001D13FB" w:rsidRPr="00E737CD" w:rsidRDefault="001D13FB" w:rsidP="00CE47F0">
      <w:pPr>
        <w:ind w:left="360"/>
        <w:jc w:val="both"/>
        <w:rPr>
          <w:sz w:val="22"/>
          <w:szCs w:val="22"/>
        </w:rPr>
      </w:pPr>
      <w:r w:rsidRPr="00E737CD">
        <w:rPr>
          <w:sz w:val="22"/>
          <w:szCs w:val="22"/>
        </w:rPr>
        <w:t xml:space="preserve"> </w:t>
      </w:r>
    </w:p>
    <w:p w14:paraId="04A8A876" w14:textId="77777777" w:rsidR="001D13FB" w:rsidRPr="00CE47F0" w:rsidRDefault="001D13FB" w:rsidP="00CE47F0">
      <w:pPr>
        <w:ind w:left="720"/>
        <w:jc w:val="both"/>
        <w:rPr>
          <w:sz w:val="22"/>
          <w:szCs w:val="22"/>
        </w:rPr>
      </w:pPr>
      <w:r w:rsidRPr="00CE47F0">
        <w:rPr>
          <w:sz w:val="22"/>
          <w:szCs w:val="22"/>
        </w:rPr>
        <w:t xml:space="preserve">1.  A Phase II Kick-Off Meeting Read-Ahead no less than seven (7) calendar days prior to the Phase II Kick-Off Meeting / System Requirements Review Meeting (See CDRL A001). </w:t>
      </w:r>
    </w:p>
    <w:p w14:paraId="55537582" w14:textId="77777777" w:rsidR="001D13FB" w:rsidRPr="00CE47F0" w:rsidRDefault="001D13FB" w:rsidP="00CE47F0">
      <w:pPr>
        <w:pStyle w:val="ListParagraph"/>
        <w:jc w:val="both"/>
        <w:rPr>
          <w:sz w:val="22"/>
          <w:szCs w:val="22"/>
        </w:rPr>
      </w:pPr>
    </w:p>
    <w:p w14:paraId="7DCFD05E" w14:textId="23E1193D" w:rsidR="001D13FB" w:rsidRPr="00CE47F0" w:rsidRDefault="001D13FB" w:rsidP="00CE47F0">
      <w:pPr>
        <w:ind w:left="720"/>
        <w:jc w:val="both"/>
        <w:rPr>
          <w:sz w:val="22"/>
          <w:szCs w:val="22"/>
        </w:rPr>
      </w:pPr>
      <w:r w:rsidRPr="00CE47F0">
        <w:rPr>
          <w:sz w:val="22"/>
          <w:szCs w:val="22"/>
        </w:rPr>
        <w:t>2.  An initial Program Management Plan</w:t>
      </w:r>
      <w:r w:rsidR="00E002AA">
        <w:rPr>
          <w:sz w:val="22"/>
          <w:szCs w:val="22"/>
        </w:rPr>
        <w:t xml:space="preserve"> </w:t>
      </w:r>
      <w:r w:rsidRPr="00CE47F0">
        <w:rPr>
          <w:sz w:val="22"/>
          <w:szCs w:val="22"/>
        </w:rPr>
        <w:t xml:space="preserve">for accomplishing all objectives specified in this Statement of Objectives.  (See CDRLs A002).  </w:t>
      </w:r>
    </w:p>
    <w:p w14:paraId="2879A5AE" w14:textId="77777777" w:rsidR="001D13FB" w:rsidRPr="00CE47F0" w:rsidRDefault="001D13FB" w:rsidP="00CE47F0">
      <w:pPr>
        <w:ind w:left="1080"/>
        <w:jc w:val="both"/>
        <w:rPr>
          <w:sz w:val="22"/>
          <w:szCs w:val="22"/>
        </w:rPr>
      </w:pPr>
    </w:p>
    <w:p w14:paraId="5DD5BDAE" w14:textId="77777777" w:rsidR="001D13FB" w:rsidRPr="00CE47F0" w:rsidRDefault="001D13FB" w:rsidP="00CE47F0">
      <w:pPr>
        <w:ind w:left="720"/>
        <w:jc w:val="both"/>
        <w:rPr>
          <w:sz w:val="22"/>
          <w:szCs w:val="22"/>
        </w:rPr>
      </w:pPr>
      <w:r w:rsidRPr="00CE47F0">
        <w:rPr>
          <w:sz w:val="22"/>
          <w:szCs w:val="22"/>
        </w:rPr>
        <w:t>3.  Conceptual Design Drawings no less than ten (10) calendar days prior to the Phase II Kick-Off/System Requirements Review Meeting (See CDRL A001).</w:t>
      </w:r>
    </w:p>
    <w:p w14:paraId="6BDAA243" w14:textId="77777777" w:rsidR="001D13FB" w:rsidRPr="00CE47F0" w:rsidRDefault="001D13FB" w:rsidP="00CE47F0">
      <w:pPr>
        <w:jc w:val="both"/>
        <w:rPr>
          <w:sz w:val="22"/>
          <w:szCs w:val="22"/>
        </w:rPr>
      </w:pPr>
    </w:p>
    <w:p w14:paraId="3D8FCD51" w14:textId="6BCDEECC" w:rsidR="001D13FB" w:rsidRPr="004D50E1" w:rsidRDefault="001D13FB" w:rsidP="00CE47F0">
      <w:pPr>
        <w:ind w:left="360"/>
        <w:jc w:val="both"/>
        <w:rPr>
          <w:sz w:val="22"/>
          <w:szCs w:val="22"/>
        </w:rPr>
      </w:pPr>
      <w:r>
        <w:rPr>
          <w:sz w:val="22"/>
          <w:szCs w:val="22"/>
        </w:rPr>
        <w:t xml:space="preserve">B.  </w:t>
      </w:r>
      <w:r w:rsidRPr="004D50E1">
        <w:rPr>
          <w:sz w:val="22"/>
          <w:szCs w:val="22"/>
        </w:rPr>
        <w:t xml:space="preserve">Preliminary Design Review (PDR) - This meeting shall be conducted </w:t>
      </w:r>
      <w:r w:rsidR="00027DC6">
        <w:rPr>
          <w:sz w:val="22"/>
          <w:szCs w:val="22"/>
        </w:rPr>
        <w:t>by teleconference</w:t>
      </w:r>
      <w:r>
        <w:rPr>
          <w:sz w:val="22"/>
          <w:szCs w:val="22"/>
        </w:rPr>
        <w:t xml:space="preserve"> </w:t>
      </w:r>
      <w:r w:rsidRPr="004D50E1">
        <w:rPr>
          <w:sz w:val="22"/>
          <w:szCs w:val="22"/>
        </w:rPr>
        <w:t xml:space="preserve">no more </w:t>
      </w:r>
      <w:r w:rsidRPr="00CE47F0">
        <w:rPr>
          <w:sz w:val="22"/>
          <w:szCs w:val="22"/>
        </w:rPr>
        <w:t xml:space="preserve">than </w:t>
      </w:r>
      <w:r w:rsidR="00CE47F0" w:rsidRPr="00CE47F0">
        <w:rPr>
          <w:sz w:val="22"/>
          <w:szCs w:val="22"/>
        </w:rPr>
        <w:t>ninety</w:t>
      </w:r>
      <w:r w:rsidRPr="00CE47F0">
        <w:rPr>
          <w:sz w:val="22"/>
          <w:szCs w:val="22"/>
        </w:rPr>
        <w:t xml:space="preserve"> (</w:t>
      </w:r>
      <w:r w:rsidR="00CE47F0" w:rsidRPr="00CE47F0">
        <w:rPr>
          <w:sz w:val="22"/>
          <w:szCs w:val="22"/>
        </w:rPr>
        <w:t>90</w:t>
      </w:r>
      <w:r w:rsidRPr="00CE47F0">
        <w:rPr>
          <w:sz w:val="22"/>
          <w:szCs w:val="22"/>
        </w:rPr>
        <w:t xml:space="preserve">) calendar </w:t>
      </w:r>
      <w:r w:rsidRPr="004D50E1">
        <w:rPr>
          <w:sz w:val="22"/>
          <w:szCs w:val="22"/>
        </w:rPr>
        <w:t xml:space="preserve">days after Phase II contract award.  </w:t>
      </w:r>
      <w:r>
        <w:rPr>
          <w:sz w:val="22"/>
          <w:szCs w:val="22"/>
        </w:rPr>
        <w:t xml:space="preserve">The Contractor shall provide teleconference capability for those participants.  </w:t>
      </w:r>
      <w:r w:rsidRPr="004D50E1">
        <w:rPr>
          <w:sz w:val="22"/>
          <w:szCs w:val="22"/>
        </w:rPr>
        <w:t xml:space="preserve">The Contractor shall provide the Government: </w:t>
      </w:r>
    </w:p>
    <w:p w14:paraId="50C46255" w14:textId="77777777" w:rsidR="001D13FB" w:rsidRPr="00B24A63" w:rsidRDefault="001D13FB" w:rsidP="00CE47F0">
      <w:pPr>
        <w:pStyle w:val="ListParagraph"/>
        <w:jc w:val="both"/>
        <w:rPr>
          <w:sz w:val="22"/>
          <w:szCs w:val="22"/>
        </w:rPr>
      </w:pPr>
    </w:p>
    <w:p w14:paraId="18FD42C7" w14:textId="4F55DAC2" w:rsidR="001D13FB" w:rsidRPr="00CE47F0" w:rsidRDefault="001D13FB" w:rsidP="00CE47F0">
      <w:pPr>
        <w:ind w:left="990" w:hanging="270"/>
        <w:jc w:val="both"/>
        <w:rPr>
          <w:sz w:val="22"/>
          <w:szCs w:val="22"/>
        </w:rPr>
      </w:pPr>
      <w:r w:rsidRPr="00CE47F0">
        <w:rPr>
          <w:sz w:val="22"/>
          <w:szCs w:val="22"/>
        </w:rPr>
        <w:t xml:space="preserve">1. </w:t>
      </w:r>
      <w:r w:rsidR="00B76195" w:rsidRPr="00CE47F0">
        <w:rPr>
          <w:sz w:val="22"/>
          <w:szCs w:val="22"/>
        </w:rPr>
        <w:t xml:space="preserve"> </w:t>
      </w:r>
      <w:r w:rsidRPr="00CE47F0">
        <w:rPr>
          <w:sz w:val="22"/>
          <w:szCs w:val="22"/>
        </w:rPr>
        <w:t>A Preliminary Design Review and Materials Read-Ahead Briefing no less than ten (10) calendar days prior to the PDR (See CDRL A00</w:t>
      </w:r>
      <w:r w:rsidR="00252850">
        <w:rPr>
          <w:sz w:val="22"/>
          <w:szCs w:val="22"/>
        </w:rPr>
        <w:t>7</w:t>
      </w:r>
      <w:r w:rsidRPr="00CE47F0">
        <w:rPr>
          <w:sz w:val="22"/>
          <w:szCs w:val="22"/>
        </w:rPr>
        <w:t>).</w:t>
      </w:r>
    </w:p>
    <w:p w14:paraId="46F79559" w14:textId="77777777" w:rsidR="001D13FB" w:rsidRPr="00CE47F0" w:rsidRDefault="001D13FB" w:rsidP="00CE47F0">
      <w:pPr>
        <w:ind w:left="990" w:hanging="270"/>
        <w:jc w:val="both"/>
        <w:rPr>
          <w:sz w:val="22"/>
          <w:szCs w:val="22"/>
        </w:rPr>
      </w:pPr>
    </w:p>
    <w:p w14:paraId="232954FF" w14:textId="03208D56" w:rsidR="001D13FB" w:rsidRPr="00CE47F0" w:rsidRDefault="001D13FB" w:rsidP="00CE47F0">
      <w:pPr>
        <w:ind w:left="990" w:hanging="270"/>
        <w:jc w:val="both"/>
        <w:rPr>
          <w:sz w:val="22"/>
          <w:szCs w:val="22"/>
        </w:rPr>
      </w:pPr>
      <w:r w:rsidRPr="00CE47F0">
        <w:rPr>
          <w:sz w:val="22"/>
          <w:szCs w:val="22"/>
        </w:rPr>
        <w:t>2.  A Detailed Design Report (See CDRL A00</w:t>
      </w:r>
      <w:r w:rsidR="00252850">
        <w:rPr>
          <w:sz w:val="22"/>
          <w:szCs w:val="22"/>
        </w:rPr>
        <w:t>7</w:t>
      </w:r>
      <w:r w:rsidRPr="00CE47F0">
        <w:rPr>
          <w:sz w:val="22"/>
          <w:szCs w:val="22"/>
        </w:rPr>
        <w:t xml:space="preserve">). </w:t>
      </w:r>
    </w:p>
    <w:p w14:paraId="03AE7011" w14:textId="77777777" w:rsidR="001D13FB" w:rsidRPr="00CE47F0" w:rsidRDefault="001D13FB" w:rsidP="00CE47F0">
      <w:pPr>
        <w:ind w:left="990" w:hanging="270"/>
        <w:jc w:val="both"/>
        <w:rPr>
          <w:sz w:val="22"/>
          <w:szCs w:val="22"/>
        </w:rPr>
      </w:pPr>
    </w:p>
    <w:p w14:paraId="560DDCD8" w14:textId="7025EE98" w:rsidR="001D13FB" w:rsidRPr="00CE47F0" w:rsidRDefault="001D13FB" w:rsidP="00CE47F0">
      <w:pPr>
        <w:ind w:left="990" w:hanging="270"/>
        <w:jc w:val="both"/>
        <w:rPr>
          <w:sz w:val="22"/>
          <w:szCs w:val="22"/>
        </w:rPr>
      </w:pPr>
      <w:r w:rsidRPr="00CE47F0">
        <w:rPr>
          <w:sz w:val="22"/>
          <w:szCs w:val="22"/>
        </w:rPr>
        <w:t>3.  Trade off considerations for the design.  (See CDRL A00</w:t>
      </w:r>
      <w:r w:rsidR="00252850">
        <w:rPr>
          <w:sz w:val="22"/>
          <w:szCs w:val="22"/>
        </w:rPr>
        <w:t>7</w:t>
      </w:r>
      <w:r w:rsidRPr="00CE47F0">
        <w:rPr>
          <w:sz w:val="22"/>
          <w:szCs w:val="22"/>
        </w:rPr>
        <w:t>).</w:t>
      </w:r>
    </w:p>
    <w:p w14:paraId="6CDE2BCC" w14:textId="77777777" w:rsidR="001D13FB" w:rsidRPr="00CE47F0" w:rsidRDefault="001D13FB" w:rsidP="00CE47F0">
      <w:pPr>
        <w:ind w:left="990" w:hanging="270"/>
        <w:jc w:val="both"/>
        <w:rPr>
          <w:sz w:val="22"/>
          <w:szCs w:val="22"/>
        </w:rPr>
      </w:pPr>
    </w:p>
    <w:p w14:paraId="22432F71" w14:textId="6267208E" w:rsidR="001D13FB" w:rsidRPr="00CE47F0" w:rsidRDefault="001D13FB" w:rsidP="00CE47F0">
      <w:pPr>
        <w:ind w:left="990" w:hanging="270"/>
        <w:jc w:val="both"/>
        <w:rPr>
          <w:sz w:val="22"/>
          <w:szCs w:val="22"/>
        </w:rPr>
      </w:pPr>
      <w:r w:rsidRPr="00CE47F0">
        <w:rPr>
          <w:sz w:val="22"/>
          <w:szCs w:val="22"/>
        </w:rPr>
        <w:t>4.  Results of any testing to date.  (See CDRL A00</w:t>
      </w:r>
      <w:r w:rsidR="00252850">
        <w:rPr>
          <w:sz w:val="22"/>
          <w:szCs w:val="22"/>
        </w:rPr>
        <w:t>4</w:t>
      </w:r>
      <w:r w:rsidRPr="00CE47F0">
        <w:rPr>
          <w:sz w:val="22"/>
          <w:szCs w:val="22"/>
        </w:rPr>
        <w:t>).</w:t>
      </w:r>
    </w:p>
    <w:p w14:paraId="067FBF1F" w14:textId="77777777" w:rsidR="001D13FB" w:rsidRPr="00CE47F0" w:rsidRDefault="001D13FB" w:rsidP="00CE47F0">
      <w:pPr>
        <w:ind w:left="990" w:hanging="270"/>
        <w:jc w:val="both"/>
        <w:rPr>
          <w:sz w:val="22"/>
          <w:szCs w:val="22"/>
        </w:rPr>
      </w:pPr>
    </w:p>
    <w:p w14:paraId="6DD3BD29" w14:textId="77777777" w:rsidR="001D13FB" w:rsidRPr="00CE47F0" w:rsidRDefault="001D13FB" w:rsidP="00CE47F0">
      <w:pPr>
        <w:ind w:left="990" w:hanging="270"/>
        <w:jc w:val="both"/>
        <w:rPr>
          <w:sz w:val="22"/>
          <w:szCs w:val="22"/>
        </w:rPr>
      </w:pPr>
      <w:r w:rsidRPr="00CE47F0">
        <w:rPr>
          <w:sz w:val="22"/>
          <w:szCs w:val="22"/>
        </w:rPr>
        <w:t>5.  Resolution to any Contractor/Government issues or concerns.</w:t>
      </w:r>
    </w:p>
    <w:p w14:paraId="6F0CB0DF" w14:textId="77777777" w:rsidR="001D13FB" w:rsidRPr="00CE47F0" w:rsidRDefault="001D13FB" w:rsidP="00CE47F0">
      <w:pPr>
        <w:ind w:left="990" w:hanging="270"/>
        <w:jc w:val="both"/>
        <w:rPr>
          <w:sz w:val="22"/>
          <w:szCs w:val="22"/>
        </w:rPr>
      </w:pPr>
    </w:p>
    <w:p w14:paraId="54EA5944" w14:textId="18DDBC23" w:rsidR="001D13FB" w:rsidRPr="00CE47F0" w:rsidRDefault="001D13FB" w:rsidP="00CE47F0">
      <w:pPr>
        <w:ind w:left="990" w:hanging="270"/>
        <w:jc w:val="both"/>
        <w:rPr>
          <w:sz w:val="22"/>
          <w:szCs w:val="22"/>
        </w:rPr>
      </w:pPr>
      <w:r w:rsidRPr="00CE47F0">
        <w:rPr>
          <w:sz w:val="22"/>
          <w:szCs w:val="22"/>
        </w:rPr>
        <w:t>6.  An assessment of other potential benefits/impacts of the prototypes, including weight savings, cost reduction, prolonged system life, and a recommendation of any changes for consideration/incorporation into the subsequent design that will be provided to the Government at the follow-on Critical Design Review.  (See CDRL A00</w:t>
      </w:r>
      <w:r w:rsidR="00E002AA">
        <w:rPr>
          <w:sz w:val="22"/>
          <w:szCs w:val="22"/>
        </w:rPr>
        <w:t>9</w:t>
      </w:r>
      <w:r w:rsidRPr="00CE47F0">
        <w:rPr>
          <w:sz w:val="22"/>
          <w:szCs w:val="22"/>
        </w:rPr>
        <w:t>).</w:t>
      </w:r>
    </w:p>
    <w:p w14:paraId="3D6F6217" w14:textId="77777777" w:rsidR="001D13FB" w:rsidRPr="00CE47F0" w:rsidRDefault="001D13FB" w:rsidP="00CE47F0">
      <w:pPr>
        <w:jc w:val="both"/>
        <w:rPr>
          <w:sz w:val="22"/>
          <w:szCs w:val="22"/>
        </w:rPr>
      </w:pPr>
    </w:p>
    <w:p w14:paraId="7512E4C5" w14:textId="77777777" w:rsidR="001D13FB" w:rsidRPr="00CE47F0" w:rsidRDefault="001D13FB" w:rsidP="00CE47F0">
      <w:pPr>
        <w:ind w:left="720" w:hanging="360"/>
        <w:jc w:val="both"/>
        <w:rPr>
          <w:sz w:val="22"/>
          <w:szCs w:val="22"/>
        </w:rPr>
      </w:pPr>
      <w:r w:rsidRPr="00CE47F0">
        <w:rPr>
          <w:sz w:val="22"/>
          <w:szCs w:val="22"/>
        </w:rPr>
        <w:t>C.  Critical Design Review (CDR):  This teleconference meeting shall be arranged by the Contractor two (2) weeks prior to the end of the contract completion date.  The Contractor shall provide the Government:</w:t>
      </w:r>
    </w:p>
    <w:p w14:paraId="70DF404A" w14:textId="77777777" w:rsidR="001D13FB" w:rsidRPr="00CE47F0" w:rsidRDefault="001D13FB" w:rsidP="00CE47F0">
      <w:pPr>
        <w:jc w:val="both"/>
        <w:rPr>
          <w:sz w:val="22"/>
          <w:szCs w:val="22"/>
        </w:rPr>
      </w:pPr>
    </w:p>
    <w:p w14:paraId="3FB25849" w14:textId="4FE6E2E7" w:rsidR="001D13FB" w:rsidRPr="00CE47F0" w:rsidRDefault="001D13FB" w:rsidP="00CE47F0">
      <w:pPr>
        <w:ind w:left="1080" w:hanging="360"/>
        <w:jc w:val="both"/>
        <w:rPr>
          <w:sz w:val="22"/>
          <w:szCs w:val="22"/>
        </w:rPr>
      </w:pPr>
      <w:r w:rsidRPr="00CE47F0">
        <w:rPr>
          <w:sz w:val="22"/>
          <w:szCs w:val="22"/>
        </w:rPr>
        <w:t>1.  A Critical Design Review and Materials Read-Ahead Briefing no less than ten (10) calendar days prior to the CDR (See CDRL A0</w:t>
      </w:r>
      <w:r w:rsidR="00E002AA">
        <w:rPr>
          <w:sz w:val="22"/>
          <w:szCs w:val="22"/>
        </w:rPr>
        <w:t>0</w:t>
      </w:r>
      <w:r w:rsidR="00252850">
        <w:rPr>
          <w:sz w:val="22"/>
          <w:szCs w:val="22"/>
        </w:rPr>
        <w:t>8</w:t>
      </w:r>
      <w:r w:rsidRPr="00CE47F0">
        <w:rPr>
          <w:sz w:val="22"/>
          <w:szCs w:val="22"/>
        </w:rPr>
        <w:t>).</w:t>
      </w:r>
    </w:p>
    <w:p w14:paraId="37F1B6AC" w14:textId="77777777" w:rsidR="001D13FB" w:rsidRPr="00CE47F0" w:rsidRDefault="001D13FB" w:rsidP="00CE47F0">
      <w:pPr>
        <w:ind w:left="1080" w:hanging="360"/>
        <w:jc w:val="both"/>
        <w:rPr>
          <w:sz w:val="22"/>
          <w:szCs w:val="22"/>
        </w:rPr>
      </w:pPr>
    </w:p>
    <w:p w14:paraId="4EF9A945" w14:textId="57C5FF0B" w:rsidR="001D13FB" w:rsidRPr="00CE47F0" w:rsidRDefault="001D13FB" w:rsidP="00CE47F0">
      <w:pPr>
        <w:ind w:left="1080" w:hanging="360"/>
        <w:jc w:val="both"/>
        <w:rPr>
          <w:sz w:val="22"/>
          <w:szCs w:val="22"/>
        </w:rPr>
      </w:pPr>
      <w:r w:rsidRPr="00CE47F0">
        <w:rPr>
          <w:sz w:val="22"/>
          <w:szCs w:val="22"/>
        </w:rPr>
        <w:t>2.  A Detailed Design Report (See CDRL A0</w:t>
      </w:r>
      <w:r w:rsidR="00E002AA">
        <w:rPr>
          <w:sz w:val="22"/>
          <w:szCs w:val="22"/>
        </w:rPr>
        <w:t>0</w:t>
      </w:r>
      <w:r w:rsidR="00252850">
        <w:rPr>
          <w:sz w:val="22"/>
          <w:szCs w:val="22"/>
        </w:rPr>
        <w:t>8</w:t>
      </w:r>
      <w:r w:rsidRPr="00CE47F0">
        <w:rPr>
          <w:sz w:val="22"/>
          <w:szCs w:val="22"/>
        </w:rPr>
        <w:t>).</w:t>
      </w:r>
    </w:p>
    <w:p w14:paraId="5ADF8C2A" w14:textId="77777777" w:rsidR="001D13FB" w:rsidRPr="00CE47F0" w:rsidRDefault="001D13FB" w:rsidP="00CE47F0">
      <w:pPr>
        <w:ind w:left="1080" w:hanging="360"/>
        <w:jc w:val="both"/>
        <w:rPr>
          <w:sz w:val="22"/>
          <w:szCs w:val="22"/>
        </w:rPr>
      </w:pPr>
    </w:p>
    <w:p w14:paraId="4D1107C4" w14:textId="6EB880C6" w:rsidR="001D13FB" w:rsidRPr="00CE47F0" w:rsidRDefault="001D13FB" w:rsidP="00CE47F0">
      <w:pPr>
        <w:ind w:left="1080" w:hanging="360"/>
        <w:jc w:val="both"/>
        <w:rPr>
          <w:sz w:val="22"/>
          <w:szCs w:val="22"/>
        </w:rPr>
      </w:pPr>
      <w:r w:rsidRPr="00CE47F0">
        <w:rPr>
          <w:sz w:val="22"/>
          <w:szCs w:val="22"/>
        </w:rPr>
        <w:t>3.  Trade off considerations for the design.  (See CDRL A0</w:t>
      </w:r>
      <w:r w:rsidR="00E002AA">
        <w:rPr>
          <w:sz w:val="22"/>
          <w:szCs w:val="22"/>
        </w:rPr>
        <w:t>0</w:t>
      </w:r>
      <w:r w:rsidR="00252850">
        <w:rPr>
          <w:sz w:val="22"/>
          <w:szCs w:val="22"/>
        </w:rPr>
        <w:t>8</w:t>
      </w:r>
      <w:r w:rsidRPr="00CE47F0">
        <w:rPr>
          <w:sz w:val="22"/>
          <w:szCs w:val="22"/>
        </w:rPr>
        <w:t>).</w:t>
      </w:r>
    </w:p>
    <w:p w14:paraId="2163C23F" w14:textId="77777777" w:rsidR="001D13FB" w:rsidRPr="00CE47F0" w:rsidRDefault="001D13FB" w:rsidP="00CE47F0">
      <w:pPr>
        <w:ind w:left="1080" w:hanging="360"/>
        <w:jc w:val="both"/>
        <w:rPr>
          <w:sz w:val="22"/>
          <w:szCs w:val="22"/>
        </w:rPr>
      </w:pPr>
    </w:p>
    <w:p w14:paraId="0B1FAEC6" w14:textId="7334F494" w:rsidR="001D13FB" w:rsidRPr="00CE47F0" w:rsidRDefault="001D13FB" w:rsidP="00CE47F0">
      <w:pPr>
        <w:ind w:left="1080" w:hanging="360"/>
        <w:jc w:val="both"/>
        <w:rPr>
          <w:sz w:val="22"/>
          <w:szCs w:val="22"/>
        </w:rPr>
      </w:pPr>
      <w:r w:rsidRPr="00CE47F0">
        <w:rPr>
          <w:sz w:val="22"/>
          <w:szCs w:val="22"/>
        </w:rPr>
        <w:t>4.  Results of any testing to date.  (See CDRL A0</w:t>
      </w:r>
      <w:r w:rsidR="00E002AA">
        <w:rPr>
          <w:sz w:val="22"/>
          <w:szCs w:val="22"/>
        </w:rPr>
        <w:t>0</w:t>
      </w:r>
      <w:r w:rsidR="00252850">
        <w:rPr>
          <w:sz w:val="22"/>
          <w:szCs w:val="22"/>
        </w:rPr>
        <w:t>4</w:t>
      </w:r>
      <w:r w:rsidRPr="00CE47F0">
        <w:rPr>
          <w:sz w:val="22"/>
          <w:szCs w:val="22"/>
        </w:rPr>
        <w:t>).</w:t>
      </w:r>
    </w:p>
    <w:p w14:paraId="5980AB22" w14:textId="77777777" w:rsidR="001D13FB" w:rsidRPr="00CE47F0" w:rsidRDefault="001D13FB" w:rsidP="00CE47F0">
      <w:pPr>
        <w:ind w:left="1080" w:hanging="360"/>
        <w:jc w:val="both"/>
        <w:rPr>
          <w:sz w:val="22"/>
          <w:szCs w:val="22"/>
        </w:rPr>
      </w:pPr>
    </w:p>
    <w:p w14:paraId="383222F3" w14:textId="77777777" w:rsidR="001D13FB" w:rsidRPr="00CE47F0" w:rsidRDefault="001D13FB" w:rsidP="00CE47F0">
      <w:pPr>
        <w:ind w:left="1080" w:hanging="360"/>
        <w:jc w:val="both"/>
        <w:rPr>
          <w:sz w:val="22"/>
          <w:szCs w:val="22"/>
        </w:rPr>
      </w:pPr>
      <w:r w:rsidRPr="00CE47F0">
        <w:rPr>
          <w:sz w:val="22"/>
          <w:szCs w:val="22"/>
        </w:rPr>
        <w:t>5.  Resolution to any Contractor/Government issues or concerns.</w:t>
      </w:r>
    </w:p>
    <w:p w14:paraId="767397D2" w14:textId="77777777" w:rsidR="001D13FB" w:rsidRPr="00CE47F0" w:rsidRDefault="001D13FB" w:rsidP="00CE47F0">
      <w:pPr>
        <w:jc w:val="both"/>
        <w:rPr>
          <w:sz w:val="22"/>
          <w:szCs w:val="22"/>
        </w:rPr>
      </w:pPr>
      <w:r w:rsidRPr="00CE47F0">
        <w:rPr>
          <w:sz w:val="22"/>
          <w:szCs w:val="22"/>
        </w:rPr>
        <w:t xml:space="preserve">       </w:t>
      </w:r>
    </w:p>
    <w:p w14:paraId="4B94416F" w14:textId="0519AA28" w:rsidR="001D13FB" w:rsidRDefault="001D13FB" w:rsidP="00CE47F0">
      <w:pPr>
        <w:ind w:left="720" w:hanging="360"/>
        <w:jc w:val="both"/>
        <w:rPr>
          <w:sz w:val="22"/>
          <w:szCs w:val="22"/>
        </w:rPr>
      </w:pPr>
      <w:r>
        <w:rPr>
          <w:sz w:val="22"/>
          <w:szCs w:val="22"/>
        </w:rPr>
        <w:t xml:space="preserve">D.  Phase II </w:t>
      </w:r>
      <w:r w:rsidRPr="00B24A63">
        <w:rPr>
          <w:sz w:val="22"/>
          <w:szCs w:val="22"/>
        </w:rPr>
        <w:t>C</w:t>
      </w:r>
      <w:r>
        <w:rPr>
          <w:sz w:val="22"/>
          <w:szCs w:val="22"/>
        </w:rPr>
        <w:t>lose</w:t>
      </w:r>
      <w:r w:rsidRPr="00B24A63">
        <w:rPr>
          <w:sz w:val="22"/>
          <w:szCs w:val="22"/>
        </w:rPr>
        <w:t>-O</w:t>
      </w:r>
      <w:r>
        <w:rPr>
          <w:sz w:val="22"/>
          <w:szCs w:val="22"/>
        </w:rPr>
        <w:t xml:space="preserve">ut Meeting:  </w:t>
      </w:r>
      <w:r w:rsidRPr="00B24A63">
        <w:rPr>
          <w:sz w:val="22"/>
          <w:szCs w:val="22"/>
        </w:rPr>
        <w:t>The Phase II Close-Out Meeting shall be conducted in</w:t>
      </w:r>
      <w:r>
        <w:rPr>
          <w:sz w:val="22"/>
          <w:szCs w:val="22"/>
        </w:rPr>
        <w:t xml:space="preserve"> </w:t>
      </w:r>
      <w:r w:rsidR="00027DC6">
        <w:rPr>
          <w:sz w:val="22"/>
          <w:szCs w:val="22"/>
        </w:rPr>
        <w:t xml:space="preserve">Tampa, FL </w:t>
      </w:r>
      <w:r>
        <w:rPr>
          <w:sz w:val="22"/>
          <w:szCs w:val="22"/>
        </w:rPr>
        <w:t xml:space="preserve">no earlier than seven (7) calendar days prior to </w:t>
      </w:r>
      <w:r w:rsidRPr="00B24A63">
        <w:rPr>
          <w:sz w:val="22"/>
          <w:szCs w:val="22"/>
        </w:rPr>
        <w:t xml:space="preserve">the conclusion of the </w:t>
      </w:r>
      <w:r>
        <w:rPr>
          <w:sz w:val="22"/>
          <w:szCs w:val="22"/>
        </w:rPr>
        <w:t xml:space="preserve">Phase II </w:t>
      </w:r>
      <w:r w:rsidRPr="00B24A63">
        <w:rPr>
          <w:sz w:val="22"/>
          <w:szCs w:val="22"/>
        </w:rPr>
        <w:t xml:space="preserve">Period of Performance.  </w:t>
      </w:r>
      <w:r>
        <w:rPr>
          <w:sz w:val="22"/>
          <w:szCs w:val="22"/>
        </w:rPr>
        <w:t xml:space="preserve">The </w:t>
      </w:r>
      <w:r w:rsidRPr="00050846">
        <w:rPr>
          <w:sz w:val="22"/>
          <w:szCs w:val="22"/>
        </w:rPr>
        <w:t xml:space="preserve">Contractor shall provide </w:t>
      </w:r>
      <w:r>
        <w:rPr>
          <w:sz w:val="22"/>
          <w:szCs w:val="22"/>
        </w:rPr>
        <w:t>the Government:</w:t>
      </w:r>
    </w:p>
    <w:p w14:paraId="119F19C4" w14:textId="77777777" w:rsidR="001D13FB" w:rsidRDefault="001D13FB" w:rsidP="00CE47F0">
      <w:pPr>
        <w:ind w:left="720" w:hanging="360"/>
        <w:jc w:val="both"/>
        <w:rPr>
          <w:sz w:val="22"/>
          <w:szCs w:val="22"/>
        </w:rPr>
      </w:pPr>
    </w:p>
    <w:p w14:paraId="1FAC30E6" w14:textId="4986FB98" w:rsidR="001D13FB" w:rsidRPr="00140FE5" w:rsidRDefault="001D13FB" w:rsidP="00CE47F0">
      <w:pPr>
        <w:ind w:left="720"/>
        <w:jc w:val="both"/>
        <w:rPr>
          <w:sz w:val="22"/>
          <w:szCs w:val="22"/>
        </w:rPr>
      </w:pPr>
      <w:r>
        <w:rPr>
          <w:sz w:val="22"/>
          <w:szCs w:val="22"/>
        </w:rPr>
        <w:t>1.  A b</w:t>
      </w:r>
      <w:r w:rsidRPr="005B1631">
        <w:rPr>
          <w:sz w:val="22"/>
          <w:szCs w:val="22"/>
        </w:rPr>
        <w:t xml:space="preserve">riefing on </w:t>
      </w:r>
      <w:r w:rsidRPr="00140FE5">
        <w:rPr>
          <w:sz w:val="22"/>
          <w:szCs w:val="22"/>
        </w:rPr>
        <w:t xml:space="preserve">the </w:t>
      </w:r>
      <w:r>
        <w:rPr>
          <w:sz w:val="22"/>
          <w:szCs w:val="22"/>
        </w:rPr>
        <w:t>test verification (See CDRL A00</w:t>
      </w:r>
      <w:r w:rsidR="00252850">
        <w:rPr>
          <w:sz w:val="22"/>
          <w:szCs w:val="22"/>
        </w:rPr>
        <w:t>4</w:t>
      </w:r>
      <w:r w:rsidRPr="00140FE5">
        <w:rPr>
          <w:sz w:val="22"/>
          <w:szCs w:val="22"/>
        </w:rPr>
        <w:t>).</w:t>
      </w:r>
    </w:p>
    <w:p w14:paraId="2BDC9FFA" w14:textId="77777777" w:rsidR="001D13FB" w:rsidRPr="00140FE5" w:rsidRDefault="001D13FB" w:rsidP="00CE47F0">
      <w:pPr>
        <w:jc w:val="both"/>
        <w:rPr>
          <w:sz w:val="22"/>
          <w:szCs w:val="22"/>
        </w:rPr>
      </w:pPr>
    </w:p>
    <w:p w14:paraId="49F20B0B" w14:textId="77777777" w:rsidR="001D13FB" w:rsidRPr="005B1631" w:rsidRDefault="001D13FB" w:rsidP="00CE47F0">
      <w:pPr>
        <w:ind w:left="720"/>
        <w:jc w:val="both"/>
        <w:rPr>
          <w:sz w:val="22"/>
          <w:szCs w:val="22"/>
        </w:rPr>
      </w:pPr>
      <w:r w:rsidRPr="00140FE5">
        <w:rPr>
          <w:sz w:val="22"/>
          <w:szCs w:val="22"/>
        </w:rPr>
        <w:t>2.  An update of the progress to date.  (See CDRL A002)</w:t>
      </w:r>
    </w:p>
    <w:p w14:paraId="659E7AF0" w14:textId="77777777" w:rsidR="001D13FB" w:rsidRDefault="001D13FB" w:rsidP="00CE47F0">
      <w:pPr>
        <w:jc w:val="both"/>
        <w:rPr>
          <w:sz w:val="22"/>
          <w:szCs w:val="22"/>
        </w:rPr>
      </w:pPr>
    </w:p>
    <w:p w14:paraId="0BDF3024" w14:textId="77777777" w:rsidR="001D13FB" w:rsidRPr="005B1631" w:rsidRDefault="001D13FB" w:rsidP="00CE47F0">
      <w:pPr>
        <w:ind w:left="720"/>
        <w:jc w:val="both"/>
        <w:rPr>
          <w:sz w:val="22"/>
          <w:szCs w:val="22"/>
        </w:rPr>
      </w:pPr>
      <w:r>
        <w:rPr>
          <w:sz w:val="22"/>
          <w:szCs w:val="22"/>
        </w:rPr>
        <w:t xml:space="preserve">3.  </w:t>
      </w:r>
      <w:r w:rsidRPr="005B1631">
        <w:rPr>
          <w:sz w:val="22"/>
          <w:szCs w:val="22"/>
        </w:rPr>
        <w:t>Resolution to any Contractor/Government issues or concerns.</w:t>
      </w:r>
    </w:p>
    <w:p w14:paraId="0C469E96" w14:textId="77777777" w:rsidR="001D13FB" w:rsidRPr="00F21C1F" w:rsidRDefault="001D13FB" w:rsidP="00CE47F0">
      <w:pPr>
        <w:jc w:val="both"/>
        <w:rPr>
          <w:sz w:val="22"/>
          <w:szCs w:val="22"/>
        </w:rPr>
      </w:pPr>
    </w:p>
    <w:p w14:paraId="0C3E9B3D" w14:textId="77777777" w:rsidR="001D13FB" w:rsidRPr="00B24A63" w:rsidRDefault="001D13FB" w:rsidP="00CE47F0">
      <w:pPr>
        <w:jc w:val="both"/>
        <w:rPr>
          <w:sz w:val="22"/>
          <w:szCs w:val="22"/>
        </w:rPr>
      </w:pPr>
      <w:r>
        <w:rPr>
          <w:sz w:val="22"/>
          <w:szCs w:val="22"/>
        </w:rPr>
        <w:t>X</w:t>
      </w:r>
      <w:r w:rsidRPr="00F17DAF">
        <w:rPr>
          <w:sz w:val="22"/>
          <w:szCs w:val="22"/>
        </w:rPr>
        <w:t>.</w:t>
      </w:r>
      <w:r>
        <w:rPr>
          <w:b/>
          <w:sz w:val="22"/>
          <w:szCs w:val="22"/>
        </w:rPr>
        <w:t xml:space="preserve">  </w:t>
      </w:r>
      <w:r w:rsidRPr="00B24A63">
        <w:rPr>
          <w:b/>
          <w:sz w:val="22"/>
          <w:szCs w:val="22"/>
        </w:rPr>
        <w:t>NOTIFICATION:</w:t>
      </w:r>
      <w:r w:rsidRPr="00B24A63">
        <w:rPr>
          <w:sz w:val="22"/>
          <w:szCs w:val="22"/>
        </w:rPr>
        <w:t xml:space="preserve">  The Contractor shall notify </w:t>
      </w:r>
      <w:r>
        <w:rPr>
          <w:sz w:val="22"/>
          <w:szCs w:val="22"/>
        </w:rPr>
        <w:t>US</w:t>
      </w:r>
      <w:r w:rsidRPr="00B24A63">
        <w:rPr>
          <w:sz w:val="22"/>
          <w:szCs w:val="22"/>
        </w:rPr>
        <w:t>SOCOM no less than thirty (30) calendar days prior to tests</w:t>
      </w:r>
      <w:r>
        <w:rPr>
          <w:sz w:val="22"/>
          <w:szCs w:val="22"/>
        </w:rPr>
        <w:t>, demonstrations</w:t>
      </w:r>
      <w:r w:rsidRPr="00B24A63">
        <w:rPr>
          <w:sz w:val="22"/>
          <w:szCs w:val="22"/>
        </w:rPr>
        <w:t xml:space="preserve"> and reviews at the </w:t>
      </w:r>
      <w:r>
        <w:rPr>
          <w:sz w:val="22"/>
          <w:szCs w:val="22"/>
        </w:rPr>
        <w:t>C</w:t>
      </w:r>
      <w:r w:rsidRPr="00B24A63">
        <w:rPr>
          <w:sz w:val="22"/>
          <w:szCs w:val="22"/>
        </w:rPr>
        <w:t xml:space="preserve">ontractor’s facilities to ensure </w:t>
      </w:r>
      <w:r>
        <w:rPr>
          <w:sz w:val="22"/>
          <w:szCs w:val="22"/>
        </w:rPr>
        <w:t>US</w:t>
      </w:r>
      <w:r w:rsidRPr="00B24A63">
        <w:rPr>
          <w:sz w:val="22"/>
          <w:szCs w:val="22"/>
        </w:rPr>
        <w:t>SOCOM representatives can attend</w:t>
      </w:r>
      <w:r>
        <w:rPr>
          <w:sz w:val="22"/>
          <w:szCs w:val="22"/>
        </w:rPr>
        <w:t xml:space="preserve"> should they desire to do so</w:t>
      </w:r>
      <w:r w:rsidRPr="00B24A63">
        <w:rPr>
          <w:sz w:val="22"/>
          <w:szCs w:val="22"/>
        </w:rPr>
        <w:t>.</w:t>
      </w:r>
    </w:p>
    <w:p w14:paraId="58D63638" w14:textId="77777777" w:rsidR="001D13FB" w:rsidRPr="00B24A63" w:rsidRDefault="001D13FB" w:rsidP="00CE47F0">
      <w:pPr>
        <w:ind w:left="360"/>
        <w:jc w:val="both"/>
        <w:rPr>
          <w:sz w:val="22"/>
          <w:szCs w:val="22"/>
        </w:rPr>
      </w:pPr>
    </w:p>
    <w:p w14:paraId="2CEAF1FD" w14:textId="77777777" w:rsidR="001D13FB" w:rsidRPr="00B24A63" w:rsidRDefault="001D13FB" w:rsidP="00CE47F0">
      <w:pPr>
        <w:jc w:val="both"/>
        <w:rPr>
          <w:sz w:val="22"/>
          <w:szCs w:val="22"/>
        </w:rPr>
      </w:pPr>
      <w:r w:rsidRPr="00F17DAF">
        <w:rPr>
          <w:sz w:val="22"/>
          <w:szCs w:val="22"/>
        </w:rPr>
        <w:t>X</w:t>
      </w:r>
      <w:r>
        <w:rPr>
          <w:sz w:val="22"/>
          <w:szCs w:val="22"/>
        </w:rPr>
        <w:t>I.</w:t>
      </w:r>
      <w:r>
        <w:rPr>
          <w:b/>
          <w:sz w:val="22"/>
          <w:szCs w:val="22"/>
        </w:rPr>
        <w:t xml:space="preserve">  </w:t>
      </w:r>
      <w:r w:rsidRPr="00C66BCD">
        <w:rPr>
          <w:b/>
          <w:sz w:val="22"/>
          <w:szCs w:val="22"/>
        </w:rPr>
        <w:t>TRAVEL REQUIREMENTS:</w:t>
      </w:r>
      <w:r w:rsidRPr="00B24A63">
        <w:rPr>
          <w:sz w:val="22"/>
          <w:szCs w:val="22"/>
        </w:rPr>
        <w:t xml:space="preserve"> </w:t>
      </w:r>
      <w:r>
        <w:rPr>
          <w:sz w:val="22"/>
          <w:szCs w:val="22"/>
        </w:rPr>
        <w:t xml:space="preserve"> </w:t>
      </w:r>
      <w:r w:rsidR="00CE47F0" w:rsidRPr="00CE47F0">
        <w:rPr>
          <w:sz w:val="22"/>
          <w:szCs w:val="22"/>
        </w:rPr>
        <w:t>If the PDR and CDR are not conducted virtually and travel is required, the Contractor shall comply with the Federal Acquisition Regulation 31.205-46 (http://www.gsa.gov/perdiem) on proposing all travel related costs.  If required, the Contractor shall include the costs associated with the following travel requirements in the proposal</w:t>
      </w:r>
      <w:r w:rsidRPr="00C66BCD">
        <w:rPr>
          <w:sz w:val="22"/>
          <w:szCs w:val="22"/>
        </w:rPr>
        <w:t>:</w:t>
      </w:r>
    </w:p>
    <w:p w14:paraId="21446B86" w14:textId="77777777" w:rsidR="001D13FB" w:rsidRPr="00CE47F0" w:rsidRDefault="001D13FB" w:rsidP="00CE47F0">
      <w:pPr>
        <w:pStyle w:val="ListParagraph"/>
        <w:ind w:left="735"/>
        <w:jc w:val="both"/>
        <w:rPr>
          <w:sz w:val="22"/>
          <w:szCs w:val="22"/>
        </w:rPr>
      </w:pPr>
    </w:p>
    <w:p w14:paraId="58DDCA72" w14:textId="4BFA7868" w:rsidR="001D13FB" w:rsidRPr="00CE47F0" w:rsidRDefault="001D13FB" w:rsidP="00CE47F0">
      <w:pPr>
        <w:pStyle w:val="ListParagraph"/>
        <w:numPr>
          <w:ilvl w:val="0"/>
          <w:numId w:val="6"/>
        </w:numPr>
        <w:jc w:val="both"/>
        <w:rPr>
          <w:sz w:val="22"/>
          <w:szCs w:val="22"/>
        </w:rPr>
      </w:pPr>
      <w:r w:rsidRPr="00CE47F0">
        <w:rPr>
          <w:sz w:val="22"/>
          <w:szCs w:val="22"/>
        </w:rPr>
        <w:t xml:space="preserve">Phase II System Testing: </w:t>
      </w:r>
      <w:r w:rsidR="00027DC6">
        <w:rPr>
          <w:sz w:val="22"/>
          <w:szCs w:val="22"/>
        </w:rPr>
        <w:t xml:space="preserve"> Crane, IN</w:t>
      </w:r>
      <w:r w:rsidRPr="00CE47F0">
        <w:rPr>
          <w:sz w:val="22"/>
          <w:szCs w:val="22"/>
        </w:rPr>
        <w:t xml:space="preserve">; up to </w:t>
      </w:r>
      <w:r w:rsidR="00027DC6">
        <w:rPr>
          <w:sz w:val="22"/>
          <w:szCs w:val="22"/>
        </w:rPr>
        <w:t>two</w:t>
      </w:r>
      <w:r w:rsidRPr="00CE47F0">
        <w:rPr>
          <w:sz w:val="22"/>
          <w:szCs w:val="22"/>
        </w:rPr>
        <w:t xml:space="preserve"> (</w:t>
      </w:r>
      <w:r w:rsidR="00027DC6">
        <w:rPr>
          <w:sz w:val="22"/>
          <w:szCs w:val="22"/>
        </w:rPr>
        <w:t>2</w:t>
      </w:r>
      <w:r w:rsidRPr="00CE47F0">
        <w:rPr>
          <w:sz w:val="22"/>
          <w:szCs w:val="22"/>
        </w:rPr>
        <w:t>) three day overnight trips, no more than three (3) Contractor representatives.</w:t>
      </w:r>
    </w:p>
    <w:p w14:paraId="4FAC5E4A" w14:textId="77777777" w:rsidR="001D13FB" w:rsidRPr="00CE47F0" w:rsidRDefault="001D13FB" w:rsidP="00CE47F0">
      <w:pPr>
        <w:pStyle w:val="ListParagraph"/>
        <w:jc w:val="both"/>
        <w:rPr>
          <w:sz w:val="22"/>
          <w:szCs w:val="22"/>
        </w:rPr>
      </w:pPr>
    </w:p>
    <w:p w14:paraId="22AA25C9" w14:textId="77777777" w:rsidR="001D13FB" w:rsidRPr="00CE47F0" w:rsidRDefault="001D13FB" w:rsidP="00CE47F0">
      <w:pPr>
        <w:pStyle w:val="ListParagraph"/>
        <w:numPr>
          <w:ilvl w:val="0"/>
          <w:numId w:val="6"/>
        </w:numPr>
        <w:jc w:val="both"/>
        <w:rPr>
          <w:sz w:val="22"/>
          <w:szCs w:val="22"/>
        </w:rPr>
      </w:pPr>
      <w:r w:rsidRPr="00CE47F0">
        <w:rPr>
          <w:sz w:val="22"/>
          <w:szCs w:val="22"/>
        </w:rPr>
        <w:t xml:space="preserve">Phase II Close-Out Meeting:  Tampa, Florida; one (1) overnight, no more than three (3) Contractor representatives. </w:t>
      </w:r>
    </w:p>
    <w:p w14:paraId="74784EE2" w14:textId="77777777" w:rsidR="001D13FB" w:rsidRPr="00CE47F0" w:rsidRDefault="001D13FB" w:rsidP="00CE47F0">
      <w:pPr>
        <w:ind w:left="360"/>
        <w:jc w:val="both"/>
        <w:rPr>
          <w:sz w:val="22"/>
          <w:szCs w:val="22"/>
        </w:rPr>
      </w:pPr>
    </w:p>
    <w:p w14:paraId="46771D27" w14:textId="77777777" w:rsidR="001D13FB" w:rsidRPr="00635D17" w:rsidRDefault="001D13FB" w:rsidP="00CE47F0">
      <w:pPr>
        <w:jc w:val="both"/>
        <w:rPr>
          <w:b/>
          <w:sz w:val="22"/>
          <w:szCs w:val="22"/>
        </w:rPr>
      </w:pPr>
      <w:r w:rsidRPr="00484AF0">
        <w:rPr>
          <w:sz w:val="22"/>
          <w:szCs w:val="22"/>
        </w:rPr>
        <w:t>XII</w:t>
      </w:r>
      <w:r w:rsidRPr="00635D17">
        <w:rPr>
          <w:b/>
          <w:sz w:val="22"/>
          <w:szCs w:val="22"/>
        </w:rPr>
        <w:t>.  DISCLOSURE OF UNCLASSIFIED INFORMATION:</w:t>
      </w:r>
    </w:p>
    <w:p w14:paraId="62A62E1E" w14:textId="77777777" w:rsidR="001D13FB" w:rsidRDefault="001D13FB" w:rsidP="00CE47F0">
      <w:pPr>
        <w:jc w:val="both"/>
        <w:rPr>
          <w:sz w:val="22"/>
          <w:szCs w:val="22"/>
        </w:rPr>
      </w:pPr>
    </w:p>
    <w:p w14:paraId="1C4423A5" w14:textId="77777777" w:rsidR="001D13FB" w:rsidRDefault="001D13FB" w:rsidP="00CE47F0">
      <w:pPr>
        <w:jc w:val="both"/>
        <w:rPr>
          <w:sz w:val="22"/>
          <w:szCs w:val="22"/>
        </w:rPr>
      </w:pPr>
      <w:r>
        <w:rPr>
          <w:sz w:val="22"/>
          <w:szCs w:val="22"/>
        </w:rPr>
        <w:lastRenderedPageBreak/>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7D18363F" w14:textId="77777777" w:rsidR="001D13FB" w:rsidRDefault="001D13FB" w:rsidP="00CE47F0">
      <w:pPr>
        <w:jc w:val="both"/>
        <w:rPr>
          <w:sz w:val="22"/>
          <w:szCs w:val="22"/>
        </w:rPr>
      </w:pPr>
    </w:p>
    <w:p w14:paraId="24E60FC4" w14:textId="77777777" w:rsidR="001D13FB" w:rsidRDefault="001D13FB" w:rsidP="00CE47F0">
      <w:pPr>
        <w:jc w:val="both"/>
        <w:rPr>
          <w:sz w:val="22"/>
          <w:szCs w:val="22"/>
        </w:rPr>
      </w:pPr>
      <w:r>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28F795DD" w14:textId="77777777" w:rsidR="001D13FB" w:rsidRDefault="001D13FB" w:rsidP="00CE47F0">
      <w:pPr>
        <w:jc w:val="both"/>
        <w:rPr>
          <w:sz w:val="22"/>
          <w:szCs w:val="22"/>
        </w:rPr>
      </w:pPr>
    </w:p>
    <w:p w14:paraId="3D3D19F3" w14:textId="77777777" w:rsidR="001D13FB" w:rsidRDefault="001D13FB" w:rsidP="00CE47F0">
      <w:pPr>
        <w:jc w:val="both"/>
        <w:rPr>
          <w:sz w:val="22"/>
          <w:szCs w:val="22"/>
        </w:rPr>
      </w:pPr>
      <w:r>
        <w:rPr>
          <w:sz w:val="22"/>
          <w:szCs w:val="22"/>
        </w:rPr>
        <w:t>C.  The Contractor shall include a similar requirement in each subcontract under this contract.  Subcontractors shall submit requests for authorization to release through the prime contractor to the Contracting Officer.</w:t>
      </w:r>
    </w:p>
    <w:p w14:paraId="6C1950DF" w14:textId="77777777" w:rsidR="001D13FB" w:rsidRDefault="001D13FB" w:rsidP="00CE47F0">
      <w:pPr>
        <w:jc w:val="both"/>
        <w:rPr>
          <w:sz w:val="22"/>
          <w:szCs w:val="22"/>
        </w:rPr>
      </w:pPr>
    </w:p>
    <w:p w14:paraId="224073CC" w14:textId="77777777" w:rsidR="001D13FB" w:rsidRDefault="001D13FB" w:rsidP="00CE47F0">
      <w:pPr>
        <w:jc w:val="both"/>
      </w:pPr>
      <w:r>
        <w:rPr>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1DA72B75" w14:textId="77777777" w:rsidR="004B164E" w:rsidRDefault="004B164E" w:rsidP="00CE47F0">
      <w:pPr>
        <w:jc w:val="both"/>
      </w:pPr>
    </w:p>
    <w:sectPr w:rsidR="004B164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8EC8" w14:textId="77777777" w:rsidR="00497613" w:rsidRDefault="00497613" w:rsidP="004B164E">
      <w:r>
        <w:separator/>
      </w:r>
    </w:p>
  </w:endnote>
  <w:endnote w:type="continuationSeparator" w:id="0">
    <w:p w14:paraId="4F86EA58" w14:textId="77777777" w:rsidR="00497613" w:rsidRDefault="00497613" w:rsidP="004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220492"/>
      <w:docPartObj>
        <w:docPartGallery w:val="Page Numbers (Bottom of Page)"/>
        <w:docPartUnique/>
      </w:docPartObj>
    </w:sdtPr>
    <w:sdtEndPr>
      <w:rPr>
        <w:noProof/>
      </w:rPr>
    </w:sdtEndPr>
    <w:sdtContent>
      <w:p w14:paraId="782DB6D3" w14:textId="2E1491C2" w:rsidR="00121D35" w:rsidRDefault="00121D35" w:rsidP="00121D35">
        <w:pPr>
          <w:pStyle w:val="Footer"/>
          <w:jc w:val="center"/>
        </w:pPr>
        <w:r>
          <w:fldChar w:fldCharType="begin"/>
        </w:r>
        <w:r>
          <w:instrText xml:space="preserve"> PAGE   \* MERGEFORMAT </w:instrText>
        </w:r>
        <w:r>
          <w:fldChar w:fldCharType="separate"/>
        </w:r>
        <w:r w:rsidR="004B18B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1377" w14:textId="77777777" w:rsidR="00497613" w:rsidRDefault="00497613" w:rsidP="004B164E">
      <w:r>
        <w:separator/>
      </w:r>
    </w:p>
  </w:footnote>
  <w:footnote w:type="continuationSeparator" w:id="0">
    <w:p w14:paraId="60CFF4C2" w14:textId="77777777" w:rsidR="00497613" w:rsidRDefault="00497613" w:rsidP="004B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D0B2" w14:textId="77777777" w:rsidR="004B164E" w:rsidRDefault="004B164E" w:rsidP="004B164E">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6C2"/>
    <w:multiLevelType w:val="hybridMultilevel"/>
    <w:tmpl w:val="F3DA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24D02"/>
    <w:multiLevelType w:val="hybridMultilevel"/>
    <w:tmpl w:val="BCF2350C"/>
    <w:lvl w:ilvl="0" w:tplc="55DC46E8">
      <w:start w:val="1"/>
      <w:numFmt w:val="upperLetter"/>
      <w:lvlText w:val="%1."/>
      <w:lvlJc w:val="left"/>
      <w:pPr>
        <w:ind w:left="1080" w:hanging="360"/>
      </w:pPr>
      <w:rPr>
        <w:rFonts w:hint="default"/>
        <w:b w:val="0"/>
      </w:rPr>
    </w:lvl>
    <w:lvl w:ilvl="1" w:tplc="F16C46A6">
      <w:start w:val="1"/>
      <w:numFmt w:val="decimal"/>
      <w:lvlText w:val="%2."/>
      <w:lvlJc w:val="left"/>
      <w:pPr>
        <w:ind w:left="1080" w:hanging="360"/>
      </w:pPr>
      <w:rPr>
        <w:b w:val="0"/>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4361A"/>
    <w:multiLevelType w:val="hybridMultilevel"/>
    <w:tmpl w:val="DCD6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446"/>
    <w:multiLevelType w:val="hybridMultilevel"/>
    <w:tmpl w:val="3E301C94"/>
    <w:lvl w:ilvl="0" w:tplc="733AD99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E"/>
    <w:rsid w:val="00005742"/>
    <w:rsid w:val="00007FBF"/>
    <w:rsid w:val="00015CF9"/>
    <w:rsid w:val="00027DC6"/>
    <w:rsid w:val="000650C4"/>
    <w:rsid w:val="000870C4"/>
    <w:rsid w:val="0009428F"/>
    <w:rsid w:val="00110C13"/>
    <w:rsid w:val="00121D35"/>
    <w:rsid w:val="00140FE5"/>
    <w:rsid w:val="00187ED2"/>
    <w:rsid w:val="001D13FB"/>
    <w:rsid w:val="00216884"/>
    <w:rsid w:val="00252850"/>
    <w:rsid w:val="002B51FE"/>
    <w:rsid w:val="00303D61"/>
    <w:rsid w:val="00396172"/>
    <w:rsid w:val="00455A07"/>
    <w:rsid w:val="00497613"/>
    <w:rsid w:val="004B164E"/>
    <w:rsid w:val="004B18B8"/>
    <w:rsid w:val="00516BF9"/>
    <w:rsid w:val="00521DAF"/>
    <w:rsid w:val="00530C63"/>
    <w:rsid w:val="005B1D94"/>
    <w:rsid w:val="006545B7"/>
    <w:rsid w:val="006B1F58"/>
    <w:rsid w:val="006C2F2F"/>
    <w:rsid w:val="00964101"/>
    <w:rsid w:val="009F5D7E"/>
    <w:rsid w:val="00A31120"/>
    <w:rsid w:val="00AA7EA5"/>
    <w:rsid w:val="00B76195"/>
    <w:rsid w:val="00BA2570"/>
    <w:rsid w:val="00BA5776"/>
    <w:rsid w:val="00BE05A8"/>
    <w:rsid w:val="00C2612E"/>
    <w:rsid w:val="00C3443E"/>
    <w:rsid w:val="00CC4502"/>
    <w:rsid w:val="00CE47F0"/>
    <w:rsid w:val="00DB6DA2"/>
    <w:rsid w:val="00E002AA"/>
    <w:rsid w:val="00E068E4"/>
    <w:rsid w:val="00E27A71"/>
    <w:rsid w:val="00E77C1B"/>
    <w:rsid w:val="00E9751E"/>
    <w:rsid w:val="00F44B25"/>
    <w:rsid w:val="00F55F1C"/>
    <w:rsid w:val="00F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E2D5"/>
  <w15:chartTrackingRefBased/>
  <w15:docId w15:val="{8E0B5474-6F5D-43B9-88E9-B9235A5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E"/>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64E"/>
    <w:pPr>
      <w:tabs>
        <w:tab w:val="center" w:pos="4680"/>
        <w:tab w:val="right" w:pos="9360"/>
      </w:tabs>
    </w:pPr>
  </w:style>
  <w:style w:type="character" w:customStyle="1" w:styleId="HeaderChar">
    <w:name w:val="Header Char"/>
    <w:basedOn w:val="DefaultParagraphFont"/>
    <w:link w:val="Header"/>
    <w:uiPriority w:val="99"/>
    <w:rsid w:val="004B164E"/>
  </w:style>
  <w:style w:type="paragraph" w:styleId="Footer">
    <w:name w:val="footer"/>
    <w:basedOn w:val="Normal"/>
    <w:link w:val="FooterChar"/>
    <w:uiPriority w:val="99"/>
    <w:unhideWhenUsed/>
    <w:rsid w:val="004B164E"/>
    <w:pPr>
      <w:tabs>
        <w:tab w:val="center" w:pos="4680"/>
        <w:tab w:val="right" w:pos="9360"/>
      </w:tabs>
    </w:pPr>
  </w:style>
  <w:style w:type="character" w:customStyle="1" w:styleId="FooterChar">
    <w:name w:val="Footer Char"/>
    <w:basedOn w:val="DefaultParagraphFont"/>
    <w:link w:val="Footer"/>
    <w:uiPriority w:val="99"/>
    <w:rsid w:val="004B164E"/>
  </w:style>
  <w:style w:type="paragraph" w:customStyle="1" w:styleId="Default">
    <w:name w:val="Default"/>
    <w:rsid w:val="004B1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164E"/>
    <w:pPr>
      <w:ind w:left="720"/>
      <w:contextualSpacing/>
    </w:pPr>
  </w:style>
  <w:style w:type="character" w:styleId="Hyperlink">
    <w:name w:val="Hyperlink"/>
    <w:basedOn w:val="DefaultParagraphFont"/>
    <w:rsid w:val="006545B7"/>
    <w:rPr>
      <w:color w:val="0000FF"/>
      <w:u w:val="single"/>
    </w:rPr>
  </w:style>
  <w:style w:type="character" w:styleId="CommentReference">
    <w:name w:val="annotation reference"/>
    <w:basedOn w:val="DefaultParagraphFont"/>
    <w:uiPriority w:val="99"/>
    <w:semiHidden/>
    <w:unhideWhenUsed/>
    <w:rsid w:val="00E9751E"/>
    <w:rPr>
      <w:sz w:val="16"/>
      <w:szCs w:val="16"/>
    </w:rPr>
  </w:style>
  <w:style w:type="paragraph" w:styleId="CommentText">
    <w:name w:val="annotation text"/>
    <w:basedOn w:val="Normal"/>
    <w:link w:val="CommentTextChar"/>
    <w:uiPriority w:val="99"/>
    <w:semiHidden/>
    <w:unhideWhenUsed/>
    <w:rsid w:val="00E9751E"/>
    <w:rPr>
      <w:sz w:val="20"/>
      <w:szCs w:val="20"/>
    </w:rPr>
  </w:style>
  <w:style w:type="character" w:customStyle="1" w:styleId="CommentTextChar">
    <w:name w:val="Comment Text Char"/>
    <w:basedOn w:val="DefaultParagraphFont"/>
    <w:link w:val="CommentText"/>
    <w:uiPriority w:val="99"/>
    <w:semiHidden/>
    <w:rsid w:val="00E9751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9751E"/>
    <w:rPr>
      <w:b/>
      <w:bCs/>
    </w:rPr>
  </w:style>
  <w:style w:type="character" w:customStyle="1" w:styleId="CommentSubjectChar">
    <w:name w:val="Comment Subject Char"/>
    <w:basedOn w:val="CommentTextChar"/>
    <w:link w:val="CommentSubject"/>
    <w:uiPriority w:val="99"/>
    <w:semiHidden/>
    <w:rsid w:val="00E9751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E9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5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2229">
      <w:bodyDiv w:val="1"/>
      <w:marLeft w:val="0"/>
      <w:marRight w:val="0"/>
      <w:marTop w:val="0"/>
      <w:marBottom w:val="0"/>
      <w:divBdr>
        <w:top w:val="none" w:sz="0" w:space="0" w:color="auto"/>
        <w:left w:val="none" w:sz="0" w:space="0" w:color="auto"/>
        <w:bottom w:val="none" w:sz="0" w:space="0" w:color="auto"/>
        <w:right w:val="none" w:sz="0" w:space="0" w:color="auto"/>
      </w:divBdr>
    </w:div>
    <w:div w:id="485364876">
      <w:bodyDiv w:val="1"/>
      <w:marLeft w:val="0"/>
      <w:marRight w:val="0"/>
      <w:marTop w:val="0"/>
      <w:marBottom w:val="0"/>
      <w:divBdr>
        <w:top w:val="none" w:sz="0" w:space="0" w:color="auto"/>
        <w:left w:val="none" w:sz="0" w:space="0" w:color="auto"/>
        <w:bottom w:val="none" w:sz="0" w:space="0" w:color="auto"/>
        <w:right w:val="none" w:sz="0" w:space="0" w:color="auto"/>
      </w:divBdr>
    </w:div>
    <w:div w:id="1107892281">
      <w:bodyDiv w:val="1"/>
      <w:marLeft w:val="0"/>
      <w:marRight w:val="0"/>
      <w:marTop w:val="0"/>
      <w:marBottom w:val="0"/>
      <w:divBdr>
        <w:top w:val="none" w:sz="0" w:space="0" w:color="auto"/>
        <w:left w:val="none" w:sz="0" w:space="0" w:color="auto"/>
        <w:bottom w:val="none" w:sz="0" w:space="0" w:color="auto"/>
        <w:right w:val="none" w:sz="0" w:space="0" w:color="auto"/>
      </w:divBdr>
    </w:div>
    <w:div w:id="1940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UID/uid_types.html"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ryspec.com/MIL-STD/MIL-STD-0800-0899/MIL-STD-810H_559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veryspec.com/MIL-STD/MIL-STD-1800-1999/MIL-STD-1913_17705/" TargetMode="External"/><Relationship Id="rId4" Type="http://schemas.openxmlformats.org/officeDocument/2006/relationships/settings" Target="settings.xml"/><Relationship Id="rId9" Type="http://schemas.openxmlformats.org/officeDocument/2006/relationships/hyperlink" Target="http://www.acq.osd.mil/dpap/UID/guid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0EF5B136-4691-4E83-9AB3-94B84086F3BF}"/>
</file>

<file path=customXml/itemProps2.xml><?xml version="1.0" encoding="utf-8"?>
<ds:datastoreItem xmlns:ds="http://schemas.openxmlformats.org/officeDocument/2006/customXml" ds:itemID="{6F6FEEE3-824B-42DF-902A-8EE89DEBA0D4}"/>
</file>

<file path=customXml/itemProps3.xml><?xml version="1.0" encoding="utf-8"?>
<ds:datastoreItem xmlns:ds="http://schemas.openxmlformats.org/officeDocument/2006/customXml" ds:itemID="{CCD38BED-2A06-43EF-A5FE-600007F3C362}"/>
</file>

<file path=customXml/itemProps4.xml><?xml version="1.0" encoding="utf-8"?>
<ds:datastoreItem xmlns:ds="http://schemas.openxmlformats.org/officeDocument/2006/customXml" ds:itemID="{69EA672D-2254-4FE2-AA06-E54913477BC6}"/>
</file>

<file path=docProps/app.xml><?xml version="1.0" encoding="utf-8"?>
<Properties xmlns="http://schemas.openxmlformats.org/officeDocument/2006/extended-properties" xmlns:vt="http://schemas.openxmlformats.org/officeDocument/2006/docPropsVTypes">
  <Template>Normal.dotm</Template>
  <TotalTime>17</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David S CIV USN NAVSUPPACT CRANE IN (USA)</dc:creator>
  <cp:keywords/>
  <dc:description/>
  <cp:lastModifiedBy>Piazza, Thomas J  CTR USSOCOM SOCOM (USA)</cp:lastModifiedBy>
  <cp:revision>12</cp:revision>
  <dcterms:created xsi:type="dcterms:W3CDTF">2021-06-28T16:08:00Z</dcterms:created>
  <dcterms:modified xsi:type="dcterms:W3CDTF">2021-09-09T18:46:00Z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